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B8171" w14:textId="77777777" w:rsidR="00581C57" w:rsidRDefault="00581C57" w:rsidP="00FB3DBE">
      <w:pPr>
        <w:jc w:val="center"/>
        <w:rPr>
          <w:b/>
          <w:lang w:val="es-ES"/>
        </w:rPr>
      </w:pPr>
    </w:p>
    <w:p w14:paraId="4119DCF0" w14:textId="2FF94A7E" w:rsidR="0085719A" w:rsidRPr="00FB3DBE" w:rsidRDefault="00134ECA" w:rsidP="00FB3DBE">
      <w:pPr>
        <w:jc w:val="center"/>
        <w:rPr>
          <w:b/>
          <w:lang w:val="es-ES"/>
        </w:rPr>
      </w:pPr>
      <w:r>
        <w:rPr>
          <w:b/>
          <w:lang w:val="es-ES"/>
        </w:rPr>
        <w:t>INFORME AVANCE GENERAL</w:t>
      </w:r>
    </w:p>
    <w:p w14:paraId="183DC8A5" w14:textId="77777777" w:rsidR="00FB3DBE" w:rsidRDefault="00FB3DBE" w:rsidP="00FB3DBE">
      <w:pPr>
        <w:jc w:val="center"/>
        <w:rPr>
          <w:b/>
          <w:lang w:val="es-ES"/>
        </w:rPr>
      </w:pPr>
      <w:r w:rsidRPr="00FB3DBE">
        <w:rPr>
          <w:b/>
          <w:lang w:val="es-ES"/>
        </w:rPr>
        <w:t>MODELO INTEGRADO DE PLANEACIÓN Y GESTIÓN</w:t>
      </w:r>
      <w:r w:rsidR="009B0DA7">
        <w:rPr>
          <w:b/>
          <w:lang w:val="es-ES"/>
        </w:rPr>
        <w:t xml:space="preserve"> (MIPG)</w:t>
      </w:r>
    </w:p>
    <w:p w14:paraId="1547132C" w14:textId="77777777" w:rsidR="00FB3DBE" w:rsidRDefault="00FB3DBE" w:rsidP="00FB3DBE">
      <w:pPr>
        <w:jc w:val="both"/>
        <w:rPr>
          <w:b/>
          <w:lang w:val="es-ES"/>
        </w:rPr>
      </w:pPr>
    </w:p>
    <w:p w14:paraId="62B73F6C" w14:textId="77777777" w:rsidR="006701A5" w:rsidRDefault="006701A5" w:rsidP="00FB3DBE">
      <w:pPr>
        <w:jc w:val="both"/>
        <w:rPr>
          <w:b/>
          <w:lang w:val="es-ES"/>
        </w:rPr>
      </w:pPr>
    </w:p>
    <w:p w14:paraId="118BD89C" w14:textId="5C55C1C9" w:rsidR="008C356C" w:rsidRDefault="00FD53CE" w:rsidP="008C356C">
      <w:pPr>
        <w:rPr>
          <w:b/>
          <w:lang w:val="es-ES"/>
        </w:rPr>
      </w:pPr>
      <w:r>
        <w:rPr>
          <w:b/>
          <w:lang w:val="es-ES"/>
        </w:rPr>
        <w:t>INSTITUTO</w:t>
      </w:r>
      <w:r w:rsidR="008C356C">
        <w:rPr>
          <w:b/>
          <w:lang w:val="es-ES"/>
        </w:rPr>
        <w:t xml:space="preserve"> </w:t>
      </w:r>
      <w:r>
        <w:rPr>
          <w:b/>
          <w:lang w:val="es-ES"/>
        </w:rPr>
        <w:t>DESCENTRALIZADO:</w:t>
      </w:r>
      <w:r w:rsidR="00EC7F21">
        <w:rPr>
          <w:b/>
          <w:lang w:val="es-ES"/>
        </w:rPr>
        <w:t xml:space="preserve"> INSTITUTO DE FOMENTO PARA EL DESARROLLO DE                 </w:t>
      </w:r>
    </w:p>
    <w:p w14:paraId="3D019AFC" w14:textId="2CBB7AC6" w:rsidR="008C356C" w:rsidRDefault="00EC7F21" w:rsidP="008C356C">
      <w:pPr>
        <w:rPr>
          <w:b/>
          <w:lang w:val="es-ES"/>
        </w:rPr>
      </w:pPr>
      <w:r>
        <w:rPr>
          <w:b/>
          <w:lang w:val="es-ES"/>
        </w:rPr>
        <w:t xml:space="preserve">                                                           </w:t>
      </w:r>
      <w:r>
        <w:rPr>
          <w:b/>
          <w:lang w:val="es-ES"/>
        </w:rPr>
        <w:t>RISARALDA INFIDER</w:t>
      </w:r>
    </w:p>
    <w:p w14:paraId="2F61C3C4" w14:textId="77777777" w:rsidR="00EC7F21" w:rsidRDefault="00EC7F21" w:rsidP="008C356C">
      <w:pPr>
        <w:rPr>
          <w:b/>
          <w:lang w:val="es-ES"/>
        </w:rPr>
      </w:pPr>
    </w:p>
    <w:p w14:paraId="01A385E0" w14:textId="411DEBFA" w:rsidR="001B0D08" w:rsidRDefault="00134ECA" w:rsidP="008C356C">
      <w:pPr>
        <w:rPr>
          <w:b/>
          <w:lang w:val="es-ES"/>
        </w:rPr>
      </w:pPr>
      <w:r>
        <w:rPr>
          <w:b/>
          <w:lang w:val="es-ES"/>
        </w:rPr>
        <w:t>FECHA PRESENTACIÓN:</w:t>
      </w:r>
      <w:r w:rsidR="00EC7F21">
        <w:rPr>
          <w:b/>
          <w:lang w:val="es-ES"/>
        </w:rPr>
        <w:t xml:space="preserve"> SEPTIEMBRE 02 DE 2020</w:t>
      </w:r>
    </w:p>
    <w:p w14:paraId="79538B0F" w14:textId="77777777" w:rsidR="00134ECA" w:rsidRDefault="00134ECA" w:rsidP="00C94C47">
      <w:pPr>
        <w:jc w:val="both"/>
        <w:rPr>
          <w:b/>
          <w:lang w:val="es-ES"/>
        </w:rPr>
      </w:pPr>
    </w:p>
    <w:p w14:paraId="150AB07F" w14:textId="77777777" w:rsidR="001749E8" w:rsidRDefault="001749E8" w:rsidP="00C94C47">
      <w:pPr>
        <w:jc w:val="both"/>
        <w:rPr>
          <w:lang w:val="es-ES"/>
        </w:rPr>
      </w:pPr>
    </w:p>
    <w:p w14:paraId="5621A252" w14:textId="038FFADB" w:rsidR="001027D1" w:rsidRDefault="001027D1" w:rsidP="00C94C47">
      <w:pPr>
        <w:jc w:val="both"/>
        <w:rPr>
          <w:lang w:val="es-ES"/>
        </w:rPr>
      </w:pPr>
      <w:r>
        <w:rPr>
          <w:lang w:val="es-ES"/>
        </w:rPr>
        <w:t xml:space="preserve">Nota: El presente informe corresponde a la vigencia 2020. Desde el mes de </w:t>
      </w:r>
      <w:r w:rsidR="00FE6FA3" w:rsidRPr="00EC7F21">
        <w:rPr>
          <w:lang w:val="es-ES"/>
        </w:rPr>
        <w:t xml:space="preserve">junio hasta el </w:t>
      </w:r>
      <w:r w:rsidR="00EC7F21">
        <w:rPr>
          <w:lang w:val="es-ES"/>
        </w:rPr>
        <w:t xml:space="preserve">  </w:t>
      </w:r>
    </w:p>
    <w:p w14:paraId="45974FC4" w14:textId="3D4228D7" w:rsidR="00EC7F21" w:rsidRPr="00EC7F21" w:rsidRDefault="00EC7F21" w:rsidP="00C94C47">
      <w:pPr>
        <w:jc w:val="both"/>
        <w:rPr>
          <w:lang w:val="es-ES"/>
        </w:rPr>
      </w:pPr>
      <w:r>
        <w:rPr>
          <w:lang w:val="es-ES"/>
        </w:rPr>
        <w:t xml:space="preserve">           </w:t>
      </w:r>
      <w:r w:rsidRPr="00EC7F21">
        <w:rPr>
          <w:lang w:val="es-ES"/>
        </w:rPr>
        <w:t>mes de agosto de 2020</w:t>
      </w:r>
    </w:p>
    <w:p w14:paraId="635D07BE" w14:textId="77777777" w:rsidR="001749E8" w:rsidRPr="001749E8" w:rsidRDefault="001749E8" w:rsidP="001749E8">
      <w:pPr>
        <w:jc w:val="both"/>
        <w:rPr>
          <w:lang w:val="es-ES"/>
        </w:rPr>
      </w:pPr>
    </w:p>
    <w:p w14:paraId="02FEE9B5" w14:textId="6BD86E70" w:rsidR="001749E8" w:rsidRDefault="00C65C8D" w:rsidP="001749E8">
      <w:pPr>
        <w:pStyle w:val="Prrafodelista"/>
        <w:numPr>
          <w:ilvl w:val="0"/>
          <w:numId w:val="19"/>
        </w:numPr>
        <w:jc w:val="both"/>
        <w:rPr>
          <w:b/>
          <w:lang w:val="es-ES"/>
        </w:rPr>
      </w:pPr>
      <w:r>
        <w:rPr>
          <w:b/>
          <w:lang w:val="es-ES"/>
        </w:rPr>
        <w:t>¿SE REVISARON LAS RECOMENDACIONES FURAG Y FUERON TENIDAS EN CUENTA PARA EL FORTALECIMIENTO DE LOS PLANES DE ACCIÓN EXISTENTES?</w:t>
      </w:r>
    </w:p>
    <w:p w14:paraId="6911AE54" w14:textId="05FE9031" w:rsidR="00C9123B" w:rsidRDefault="00C9123B" w:rsidP="00C9123B">
      <w:pPr>
        <w:jc w:val="both"/>
        <w:rPr>
          <w:b/>
          <w:lang w:val="es-ES"/>
        </w:rPr>
      </w:pPr>
    </w:p>
    <w:p w14:paraId="11EE6A6A" w14:textId="15F99C2B" w:rsidR="00C9123B" w:rsidRPr="00C9123B" w:rsidRDefault="00C9123B" w:rsidP="00C9123B">
      <w:pPr>
        <w:ind w:left="720"/>
        <w:jc w:val="both"/>
        <w:rPr>
          <w:bCs/>
          <w:lang w:val="es-ES"/>
        </w:rPr>
      </w:pPr>
      <w:r w:rsidRPr="00C9123B">
        <w:rPr>
          <w:bCs/>
          <w:lang w:val="es-ES"/>
        </w:rPr>
        <w:t>S</w:t>
      </w:r>
      <w:r>
        <w:rPr>
          <w:bCs/>
          <w:lang w:val="es-ES"/>
        </w:rPr>
        <w:t>e revisaron las recomendaciones que hizo el FURAG y se están teniendo en cuenta para la revisión, actualización y fortalecimiento de los planes de acción que hay en el INFIDER.</w:t>
      </w:r>
    </w:p>
    <w:p w14:paraId="08586487" w14:textId="77777777" w:rsidR="001749E8" w:rsidRPr="00931C84" w:rsidRDefault="001749E8" w:rsidP="00931C84">
      <w:pPr>
        <w:rPr>
          <w:b/>
          <w:lang w:val="es-ES"/>
        </w:rPr>
      </w:pPr>
    </w:p>
    <w:p w14:paraId="7437F049" w14:textId="77777777" w:rsidR="00EC7F21" w:rsidRPr="00034ACB" w:rsidRDefault="00EC7F21" w:rsidP="00EC7F21">
      <w:pPr>
        <w:pStyle w:val="Prrafodelista"/>
        <w:numPr>
          <w:ilvl w:val="0"/>
          <w:numId w:val="19"/>
        </w:numPr>
        <w:jc w:val="both"/>
        <w:rPr>
          <w:b/>
          <w:lang w:val="es-ES"/>
        </w:rPr>
      </w:pPr>
      <w:r w:rsidRPr="001749E8">
        <w:rPr>
          <w:b/>
          <w:lang w:val="es-ES"/>
        </w:rPr>
        <w:t>ESTADO DE LAS POLÍTICAS A LA FECHA SEGÚN HERRAMIENTA DE AUTODIAGNÓSTICO</w:t>
      </w:r>
      <w:r>
        <w:rPr>
          <w:b/>
          <w:lang w:val="es-ES"/>
        </w:rPr>
        <w:t>:</w:t>
      </w:r>
    </w:p>
    <w:p w14:paraId="210A2119" w14:textId="77777777" w:rsidR="00EC7F21" w:rsidRPr="0072753F" w:rsidRDefault="00EC7F21" w:rsidP="00EC7F21">
      <w:pPr>
        <w:jc w:val="both"/>
        <w:rPr>
          <w:lang w:val="es-ES"/>
        </w:rPr>
      </w:pPr>
    </w:p>
    <w:tbl>
      <w:tblPr>
        <w:tblStyle w:val="Tablaconcuadrcula"/>
        <w:tblW w:w="9079" w:type="dxa"/>
        <w:tblInd w:w="137" w:type="dxa"/>
        <w:tblLook w:val="04A0" w:firstRow="1" w:lastRow="0" w:firstColumn="1" w:lastColumn="0" w:noHBand="0" w:noVBand="1"/>
      </w:tblPr>
      <w:tblGrid>
        <w:gridCol w:w="3686"/>
        <w:gridCol w:w="2219"/>
        <w:gridCol w:w="3174"/>
      </w:tblGrid>
      <w:tr w:rsidR="00EC7F21" w14:paraId="6231B4F9" w14:textId="77777777" w:rsidTr="007E48A4">
        <w:tc>
          <w:tcPr>
            <w:tcW w:w="3686" w:type="dxa"/>
            <w:shd w:val="clear" w:color="auto" w:fill="D9D9D9" w:themeFill="background1" w:themeFillShade="D9"/>
            <w:vAlign w:val="center"/>
          </w:tcPr>
          <w:p w14:paraId="1CA48A3C" w14:textId="77777777" w:rsidR="00EC7F21" w:rsidRPr="00DD274A" w:rsidRDefault="00EC7F21" w:rsidP="007E48A4">
            <w:pPr>
              <w:jc w:val="center"/>
              <w:rPr>
                <w:b/>
                <w:lang w:val="es-ES"/>
              </w:rPr>
            </w:pPr>
            <w:r w:rsidRPr="00DD274A">
              <w:rPr>
                <w:b/>
                <w:lang w:val="es-ES"/>
              </w:rPr>
              <w:t xml:space="preserve">POLÍTICA(S) </w:t>
            </w:r>
          </w:p>
        </w:tc>
        <w:tc>
          <w:tcPr>
            <w:tcW w:w="2219" w:type="dxa"/>
            <w:shd w:val="clear" w:color="auto" w:fill="D9D9D9" w:themeFill="background1" w:themeFillShade="D9"/>
            <w:vAlign w:val="center"/>
          </w:tcPr>
          <w:p w14:paraId="6F57E494" w14:textId="77777777" w:rsidR="00EC7F21" w:rsidRDefault="00EC7F21" w:rsidP="007E48A4">
            <w:pPr>
              <w:jc w:val="center"/>
              <w:rPr>
                <w:b/>
                <w:lang w:val="es-ES"/>
              </w:rPr>
            </w:pPr>
            <w:r>
              <w:rPr>
                <w:b/>
                <w:lang w:val="es-ES"/>
              </w:rPr>
              <w:t>AUTODIAGNÓSTICO</w:t>
            </w:r>
          </w:p>
          <w:p w14:paraId="19E8F83B" w14:textId="77777777" w:rsidR="00EC7F21" w:rsidRPr="00DD274A" w:rsidRDefault="00EC7F21" w:rsidP="007E48A4">
            <w:pPr>
              <w:jc w:val="center"/>
              <w:rPr>
                <w:b/>
                <w:lang w:val="es-ES"/>
              </w:rPr>
            </w:pPr>
            <w:r>
              <w:rPr>
                <w:b/>
                <w:lang w:val="es-ES"/>
              </w:rPr>
              <w:t>2020</w:t>
            </w:r>
          </w:p>
          <w:p w14:paraId="1987A9A8" w14:textId="77777777" w:rsidR="00EC7F21" w:rsidRPr="00DD274A" w:rsidRDefault="00EC7F21" w:rsidP="007E48A4">
            <w:pPr>
              <w:jc w:val="center"/>
              <w:rPr>
                <w:b/>
                <w:lang w:val="es-ES"/>
              </w:rPr>
            </w:pPr>
            <w:r>
              <w:rPr>
                <w:b/>
                <w:lang w:val="es-ES"/>
              </w:rPr>
              <w:t>PUNTAJE</w:t>
            </w:r>
          </w:p>
        </w:tc>
        <w:tc>
          <w:tcPr>
            <w:tcW w:w="3174" w:type="dxa"/>
            <w:shd w:val="clear" w:color="auto" w:fill="D9D9D9" w:themeFill="background1" w:themeFillShade="D9"/>
            <w:vAlign w:val="center"/>
          </w:tcPr>
          <w:p w14:paraId="04844AAE" w14:textId="77777777" w:rsidR="00EC7F21" w:rsidRPr="00DD274A" w:rsidRDefault="00EC7F21" w:rsidP="007E48A4">
            <w:pPr>
              <w:jc w:val="center"/>
              <w:rPr>
                <w:b/>
                <w:lang w:val="es-ES"/>
              </w:rPr>
            </w:pPr>
            <w:r>
              <w:rPr>
                <w:b/>
                <w:lang w:val="es-ES"/>
              </w:rPr>
              <w:t>OBSERVACIONES</w:t>
            </w:r>
          </w:p>
        </w:tc>
      </w:tr>
      <w:tr w:rsidR="00EC7F21" w14:paraId="58797AB5" w14:textId="77777777" w:rsidTr="007E48A4">
        <w:trPr>
          <w:trHeight w:val="293"/>
        </w:trPr>
        <w:tc>
          <w:tcPr>
            <w:tcW w:w="3686" w:type="dxa"/>
          </w:tcPr>
          <w:p w14:paraId="27F8A467" w14:textId="77777777" w:rsidR="00EC7F21" w:rsidRPr="00506480" w:rsidRDefault="00EC7F21" w:rsidP="00A82219">
            <w:pPr>
              <w:ind w:left="360"/>
              <w:jc w:val="center"/>
              <w:rPr>
                <w:lang w:val="es-ES"/>
              </w:rPr>
            </w:pPr>
            <w:r w:rsidRPr="006E624A">
              <w:rPr>
                <w:lang w:val="es-ES"/>
              </w:rPr>
              <w:t>Planeación Institucional</w:t>
            </w:r>
          </w:p>
        </w:tc>
        <w:tc>
          <w:tcPr>
            <w:tcW w:w="2219" w:type="dxa"/>
          </w:tcPr>
          <w:p w14:paraId="08C7C522" w14:textId="77777777" w:rsidR="00EC7F21" w:rsidRDefault="00EC7F21" w:rsidP="00A82219">
            <w:pPr>
              <w:jc w:val="center"/>
              <w:rPr>
                <w:lang w:val="es-ES"/>
              </w:rPr>
            </w:pPr>
            <w:r>
              <w:rPr>
                <w:lang w:val="es-ES"/>
              </w:rPr>
              <w:t>91%</w:t>
            </w:r>
          </w:p>
        </w:tc>
        <w:tc>
          <w:tcPr>
            <w:tcW w:w="3174" w:type="dxa"/>
          </w:tcPr>
          <w:p w14:paraId="72E2684A" w14:textId="175586B9" w:rsidR="00EC7F21" w:rsidRDefault="00EC7F21" w:rsidP="00A82219">
            <w:pPr>
              <w:pStyle w:val="Prrafodelista"/>
              <w:numPr>
                <w:ilvl w:val="0"/>
                <w:numId w:val="21"/>
              </w:numPr>
              <w:rPr>
                <w:lang w:val="es-ES"/>
              </w:rPr>
            </w:pPr>
            <w:r w:rsidRPr="000902F9">
              <w:rPr>
                <w:lang w:val="es-ES"/>
              </w:rPr>
              <w:t>Continuar y mantener una socialización de las funciones del INFIDER a todos los servidores públicos de acuerdo a</w:t>
            </w:r>
            <w:r w:rsidR="00A82219">
              <w:rPr>
                <w:lang w:val="es-ES"/>
              </w:rPr>
              <w:t xml:space="preserve"> </w:t>
            </w:r>
            <w:r w:rsidRPr="000902F9">
              <w:rPr>
                <w:lang w:val="es-ES"/>
              </w:rPr>
              <w:t>l</w:t>
            </w:r>
            <w:r w:rsidR="00A82219">
              <w:rPr>
                <w:lang w:val="es-ES"/>
              </w:rPr>
              <w:t xml:space="preserve">as políticas, planes, manuales que hay en la entidad, al </w:t>
            </w:r>
            <w:r w:rsidRPr="000902F9">
              <w:rPr>
                <w:lang w:val="es-ES"/>
              </w:rPr>
              <w:t>plan estratégico</w:t>
            </w:r>
            <w:r w:rsidR="00A82219">
              <w:rPr>
                <w:lang w:val="es-ES"/>
              </w:rPr>
              <w:t xml:space="preserve"> 2020-2023 se está revisando para presentarlo al Consejo Directivo del INFIDER</w:t>
            </w:r>
            <w:r w:rsidRPr="000902F9">
              <w:rPr>
                <w:lang w:val="es-ES"/>
              </w:rPr>
              <w:t>.</w:t>
            </w:r>
          </w:p>
          <w:p w14:paraId="72C7CEE6" w14:textId="77777777" w:rsidR="00EC7F21" w:rsidRDefault="00EC7F21" w:rsidP="00A82219">
            <w:pPr>
              <w:pStyle w:val="Prrafodelista"/>
              <w:numPr>
                <w:ilvl w:val="0"/>
                <w:numId w:val="21"/>
              </w:numPr>
              <w:rPr>
                <w:lang w:val="es-ES"/>
              </w:rPr>
            </w:pPr>
            <w:r>
              <w:rPr>
                <w:lang w:val="es-ES"/>
              </w:rPr>
              <w:t xml:space="preserve">Continuar con la </w:t>
            </w:r>
            <w:r w:rsidRPr="000902F9">
              <w:rPr>
                <w:lang w:val="es-ES"/>
              </w:rPr>
              <w:t>Caracteriz</w:t>
            </w:r>
            <w:r>
              <w:rPr>
                <w:lang w:val="es-ES"/>
              </w:rPr>
              <w:t xml:space="preserve">ación de </w:t>
            </w:r>
            <w:r w:rsidRPr="000902F9">
              <w:rPr>
                <w:lang w:val="es-ES"/>
              </w:rPr>
              <w:t>los grupos de valor</w:t>
            </w:r>
            <w:r>
              <w:rPr>
                <w:lang w:val="es-ES"/>
              </w:rPr>
              <w:t xml:space="preserve"> del INFIDER.</w:t>
            </w:r>
          </w:p>
          <w:p w14:paraId="76593CAC" w14:textId="47D6E387" w:rsidR="00EC7F21" w:rsidRPr="000902F9" w:rsidRDefault="00A82219" w:rsidP="00A82219">
            <w:pPr>
              <w:pStyle w:val="Prrafodelista"/>
              <w:numPr>
                <w:ilvl w:val="0"/>
                <w:numId w:val="21"/>
              </w:numPr>
              <w:rPr>
                <w:lang w:val="es-ES"/>
              </w:rPr>
            </w:pPr>
            <w:r>
              <w:rPr>
                <w:lang w:val="es-ES"/>
              </w:rPr>
              <w:lastRenderedPageBreak/>
              <w:t xml:space="preserve">Continuar con los </w:t>
            </w:r>
            <w:r w:rsidR="00EC7F21">
              <w:rPr>
                <w:lang w:val="es-ES"/>
              </w:rPr>
              <w:t>seguimientos</w:t>
            </w:r>
            <w:r>
              <w:rPr>
                <w:lang w:val="es-ES"/>
              </w:rPr>
              <w:t xml:space="preserve"> </w:t>
            </w:r>
            <w:r w:rsidR="00EC7F21">
              <w:rPr>
                <w:lang w:val="es-ES"/>
              </w:rPr>
              <w:t>trimestrales al p</w:t>
            </w:r>
            <w:r w:rsidR="00EC7F21" w:rsidRPr="000902F9">
              <w:rPr>
                <w:lang w:val="es-ES"/>
              </w:rPr>
              <w:t>lan de acción integrado para la vigencia 2020</w:t>
            </w:r>
            <w:r>
              <w:rPr>
                <w:lang w:val="es-ES"/>
              </w:rPr>
              <w:t>. (seguimientos al día a marzo 31 y junio 30 de 2020).</w:t>
            </w:r>
          </w:p>
        </w:tc>
      </w:tr>
      <w:tr w:rsidR="00EC7F21" w14:paraId="2DD8FA83" w14:textId="77777777" w:rsidTr="007E48A4">
        <w:trPr>
          <w:trHeight w:val="293"/>
        </w:trPr>
        <w:tc>
          <w:tcPr>
            <w:tcW w:w="3686" w:type="dxa"/>
          </w:tcPr>
          <w:p w14:paraId="47656512" w14:textId="77777777" w:rsidR="00EC7F21" w:rsidRPr="006E624A" w:rsidRDefault="00EC7F21" w:rsidP="007E48A4">
            <w:pPr>
              <w:ind w:left="360"/>
              <w:jc w:val="both"/>
              <w:rPr>
                <w:lang w:val="es-ES"/>
              </w:rPr>
            </w:pPr>
            <w:r w:rsidRPr="006E624A">
              <w:rPr>
                <w:lang w:val="es-ES"/>
              </w:rPr>
              <w:lastRenderedPageBreak/>
              <w:t>Gestión Presupuestal y Eficiencia del Gasto Público</w:t>
            </w:r>
          </w:p>
        </w:tc>
        <w:tc>
          <w:tcPr>
            <w:tcW w:w="2219" w:type="dxa"/>
          </w:tcPr>
          <w:p w14:paraId="17E32BEC" w14:textId="77777777" w:rsidR="00EC7F21" w:rsidRDefault="00EC7F21" w:rsidP="007E48A4">
            <w:pPr>
              <w:jc w:val="center"/>
              <w:rPr>
                <w:lang w:val="es-ES"/>
              </w:rPr>
            </w:pPr>
            <w:r>
              <w:rPr>
                <w:lang w:val="es-ES"/>
              </w:rPr>
              <w:t>98,7%</w:t>
            </w:r>
          </w:p>
        </w:tc>
        <w:tc>
          <w:tcPr>
            <w:tcW w:w="3174" w:type="dxa"/>
          </w:tcPr>
          <w:p w14:paraId="0118C20C" w14:textId="23E8CE67" w:rsidR="00EC7F21" w:rsidRDefault="00EC7F21" w:rsidP="007E48A4">
            <w:pPr>
              <w:jc w:val="both"/>
              <w:rPr>
                <w:lang w:val="es-ES"/>
              </w:rPr>
            </w:pPr>
            <w:r>
              <w:rPr>
                <w:lang w:val="es-ES"/>
              </w:rPr>
              <w:t>Continuar con la gestión presupuestal</w:t>
            </w:r>
            <w:r w:rsidR="00A82219">
              <w:rPr>
                <w:lang w:val="es-ES"/>
              </w:rPr>
              <w:t xml:space="preserve"> de la entidad y</w:t>
            </w:r>
            <w:r>
              <w:rPr>
                <w:lang w:val="es-ES"/>
              </w:rPr>
              <w:t xml:space="preserve"> la eficiencia en el gasto público y estar pendientes de actualizar los procedimientos presupuestales de acuerdo a los cambios que se generen en la normatividad vigente.</w:t>
            </w:r>
          </w:p>
        </w:tc>
      </w:tr>
      <w:tr w:rsidR="00EC7F21" w14:paraId="4928EE38" w14:textId="77777777" w:rsidTr="007E48A4">
        <w:trPr>
          <w:trHeight w:val="293"/>
        </w:trPr>
        <w:tc>
          <w:tcPr>
            <w:tcW w:w="3686" w:type="dxa"/>
          </w:tcPr>
          <w:p w14:paraId="780F3740" w14:textId="77777777" w:rsidR="00EC7F21" w:rsidRPr="006E624A" w:rsidRDefault="00EC7F21" w:rsidP="007E48A4">
            <w:pPr>
              <w:ind w:left="360"/>
              <w:jc w:val="both"/>
              <w:rPr>
                <w:lang w:val="es-ES"/>
              </w:rPr>
            </w:pPr>
            <w:r w:rsidRPr="006E624A">
              <w:rPr>
                <w:lang w:val="es-ES"/>
              </w:rPr>
              <w:t>Talento Humano</w:t>
            </w:r>
          </w:p>
          <w:p w14:paraId="7AC77869" w14:textId="77777777" w:rsidR="00EC7F21" w:rsidRPr="006E624A" w:rsidRDefault="00EC7F21" w:rsidP="007E48A4">
            <w:pPr>
              <w:ind w:left="360"/>
              <w:jc w:val="both"/>
              <w:rPr>
                <w:lang w:val="es-ES"/>
              </w:rPr>
            </w:pPr>
          </w:p>
        </w:tc>
        <w:tc>
          <w:tcPr>
            <w:tcW w:w="2219" w:type="dxa"/>
          </w:tcPr>
          <w:p w14:paraId="51635ACA" w14:textId="77777777" w:rsidR="00EC7F21" w:rsidRDefault="00EC7F21" w:rsidP="007E48A4">
            <w:pPr>
              <w:jc w:val="center"/>
              <w:rPr>
                <w:lang w:val="es-ES"/>
              </w:rPr>
            </w:pPr>
            <w:r>
              <w:rPr>
                <w:lang w:val="es-ES"/>
              </w:rPr>
              <w:t>76,6%</w:t>
            </w:r>
          </w:p>
        </w:tc>
        <w:tc>
          <w:tcPr>
            <w:tcW w:w="3174" w:type="dxa"/>
          </w:tcPr>
          <w:p w14:paraId="6B9EE0F4" w14:textId="7304D90E" w:rsidR="00EC7F21" w:rsidRDefault="00A82219" w:rsidP="007E48A4">
            <w:pPr>
              <w:jc w:val="both"/>
              <w:rPr>
                <w:lang w:val="es-ES"/>
              </w:rPr>
            </w:pPr>
            <w:r>
              <w:rPr>
                <w:lang w:val="es-ES"/>
              </w:rPr>
              <w:t>Se están</w:t>
            </w:r>
            <w:r w:rsidR="00EC7F21">
              <w:rPr>
                <w:lang w:val="es-ES"/>
              </w:rPr>
              <w:t xml:space="preserve"> revisa</w:t>
            </w:r>
            <w:r>
              <w:rPr>
                <w:lang w:val="es-ES"/>
              </w:rPr>
              <w:t>ndo</w:t>
            </w:r>
            <w:r w:rsidR="00EC7F21">
              <w:rPr>
                <w:lang w:val="es-ES"/>
              </w:rPr>
              <w:t xml:space="preserve"> y actualiza</w:t>
            </w:r>
            <w:r>
              <w:rPr>
                <w:lang w:val="es-ES"/>
              </w:rPr>
              <w:t>ndo</w:t>
            </w:r>
            <w:r w:rsidR="00EC7F21">
              <w:rPr>
                <w:lang w:val="es-ES"/>
              </w:rPr>
              <w:t xml:space="preserve"> los planes </w:t>
            </w:r>
            <w:r>
              <w:rPr>
                <w:lang w:val="es-ES"/>
              </w:rPr>
              <w:t xml:space="preserve">y las políticas de talento humano del INFIDER por parte de la Dirección Administrativa y Financiera encargada del área de talento humano con el acompañamiento de la Oficina asesora de Control Interno </w:t>
            </w:r>
            <w:r w:rsidR="00EC7F21">
              <w:rPr>
                <w:lang w:val="es-ES"/>
              </w:rPr>
              <w:t xml:space="preserve">creados para cada vigencia. Así mismo </w:t>
            </w:r>
            <w:r w:rsidR="00AF50C8">
              <w:rPr>
                <w:lang w:val="es-ES"/>
              </w:rPr>
              <w:t xml:space="preserve">se está realizando el respectivo </w:t>
            </w:r>
            <w:r w:rsidR="00EC7F21">
              <w:rPr>
                <w:lang w:val="es-ES"/>
              </w:rPr>
              <w:t>seguimiento a su cumplimiento.</w:t>
            </w:r>
          </w:p>
        </w:tc>
      </w:tr>
      <w:tr w:rsidR="00EC7F21" w14:paraId="0A651159" w14:textId="77777777" w:rsidTr="007E48A4">
        <w:trPr>
          <w:trHeight w:val="293"/>
        </w:trPr>
        <w:tc>
          <w:tcPr>
            <w:tcW w:w="3686" w:type="dxa"/>
          </w:tcPr>
          <w:p w14:paraId="4247C4AB" w14:textId="77777777" w:rsidR="00EC7F21" w:rsidRPr="006E624A" w:rsidRDefault="00EC7F21" w:rsidP="007E48A4">
            <w:pPr>
              <w:ind w:left="360"/>
              <w:jc w:val="both"/>
              <w:rPr>
                <w:lang w:val="es-ES"/>
              </w:rPr>
            </w:pPr>
            <w:r w:rsidRPr="006E624A">
              <w:rPr>
                <w:lang w:val="es-ES"/>
              </w:rPr>
              <w:t>Integridad</w:t>
            </w:r>
          </w:p>
          <w:p w14:paraId="5650A44B" w14:textId="77777777" w:rsidR="00EC7F21" w:rsidRPr="006E624A" w:rsidRDefault="00EC7F21" w:rsidP="007E48A4">
            <w:pPr>
              <w:ind w:left="360"/>
              <w:jc w:val="both"/>
              <w:rPr>
                <w:lang w:val="es-ES"/>
              </w:rPr>
            </w:pPr>
          </w:p>
        </w:tc>
        <w:tc>
          <w:tcPr>
            <w:tcW w:w="2219" w:type="dxa"/>
          </w:tcPr>
          <w:p w14:paraId="6EBBB8B8" w14:textId="77777777" w:rsidR="00EC7F21" w:rsidRDefault="00EC7F21" w:rsidP="007E48A4">
            <w:pPr>
              <w:jc w:val="center"/>
              <w:rPr>
                <w:lang w:val="es-ES"/>
              </w:rPr>
            </w:pPr>
            <w:r>
              <w:rPr>
                <w:lang w:val="es-ES"/>
              </w:rPr>
              <w:t>79,4%</w:t>
            </w:r>
          </w:p>
          <w:p w14:paraId="32AA6521" w14:textId="77777777" w:rsidR="00EC7F21" w:rsidRDefault="00EC7F21" w:rsidP="007E48A4">
            <w:pPr>
              <w:rPr>
                <w:lang w:val="es-ES"/>
              </w:rPr>
            </w:pPr>
          </w:p>
        </w:tc>
        <w:tc>
          <w:tcPr>
            <w:tcW w:w="3174" w:type="dxa"/>
            <w:vAlign w:val="center"/>
          </w:tcPr>
          <w:p w14:paraId="4DF6673F" w14:textId="77777777" w:rsidR="00EC7F21" w:rsidRDefault="00EC7F21" w:rsidP="007E48A4">
            <w:pPr>
              <w:jc w:val="both"/>
              <w:rPr>
                <w:lang w:val="es-ES"/>
              </w:rPr>
            </w:pPr>
            <w:r>
              <w:rPr>
                <w:lang w:val="es-ES"/>
              </w:rPr>
              <w:t xml:space="preserve">El INFIDER realizó la construcción e </w:t>
            </w:r>
          </w:p>
          <w:p w14:paraId="00E3C7F0" w14:textId="00643634" w:rsidR="00EC7F21" w:rsidRDefault="00EC7F21" w:rsidP="007E48A4">
            <w:pPr>
              <w:jc w:val="both"/>
              <w:rPr>
                <w:lang w:val="es-ES"/>
              </w:rPr>
            </w:pPr>
            <w:r>
              <w:rPr>
                <w:lang w:val="es-ES"/>
              </w:rPr>
              <w:t xml:space="preserve">Implementación del Código de Integridad integrado en el manual de ética y buen gobierno presentado y probado por el </w:t>
            </w:r>
            <w:r w:rsidR="00AF50C8">
              <w:rPr>
                <w:lang w:val="es-ES"/>
              </w:rPr>
              <w:t>C</w:t>
            </w:r>
            <w:r>
              <w:rPr>
                <w:lang w:val="es-ES"/>
              </w:rPr>
              <w:t xml:space="preserve">onsejo </w:t>
            </w:r>
            <w:r w:rsidR="00AF50C8">
              <w:rPr>
                <w:lang w:val="es-ES"/>
              </w:rPr>
              <w:t>D</w:t>
            </w:r>
            <w:r>
              <w:rPr>
                <w:lang w:val="es-ES"/>
              </w:rPr>
              <w:t>irectivo de</w:t>
            </w:r>
            <w:r w:rsidR="00AF50C8">
              <w:rPr>
                <w:lang w:val="es-ES"/>
              </w:rPr>
              <w:t>l INFIDER y</w:t>
            </w:r>
            <w:r>
              <w:rPr>
                <w:lang w:val="es-ES"/>
              </w:rPr>
              <w:t xml:space="preserve"> de acuerdo a los lineamientos de la Política de Integridad</w:t>
            </w:r>
            <w:r w:rsidR="00AF50C8">
              <w:rPr>
                <w:lang w:val="es-ES"/>
              </w:rPr>
              <w:t xml:space="preserve"> del MIPG se realizó la actualización del Código de Integridad a través de la Resolución N° </w:t>
            </w:r>
            <w:r w:rsidR="00721998">
              <w:rPr>
                <w:lang w:val="es-ES"/>
              </w:rPr>
              <w:t>146 de agosto 26 de 2020.</w:t>
            </w:r>
          </w:p>
          <w:p w14:paraId="3D79F2D1" w14:textId="77777777" w:rsidR="00EC7F21" w:rsidRDefault="00EC7F21" w:rsidP="007E48A4">
            <w:pPr>
              <w:jc w:val="both"/>
              <w:rPr>
                <w:lang w:val="es-ES"/>
              </w:rPr>
            </w:pPr>
            <w:r>
              <w:rPr>
                <w:lang w:val="es-ES"/>
              </w:rPr>
              <w:lastRenderedPageBreak/>
              <w:t>Se recomienda realizar seguimiento a la socialización de este código de integridad en forma permanente en los planes de inducción y reinducción.</w:t>
            </w:r>
          </w:p>
        </w:tc>
      </w:tr>
      <w:tr w:rsidR="00EC7F21" w14:paraId="0EB45770" w14:textId="77777777" w:rsidTr="007E48A4">
        <w:trPr>
          <w:trHeight w:val="293"/>
        </w:trPr>
        <w:tc>
          <w:tcPr>
            <w:tcW w:w="3686" w:type="dxa"/>
          </w:tcPr>
          <w:p w14:paraId="625744F8" w14:textId="77777777" w:rsidR="00EC7F21" w:rsidRPr="006E624A" w:rsidRDefault="00EC7F21" w:rsidP="007E48A4">
            <w:pPr>
              <w:ind w:left="360"/>
              <w:rPr>
                <w:lang w:val="es-ES"/>
              </w:rPr>
            </w:pPr>
            <w:r w:rsidRPr="006E624A">
              <w:rPr>
                <w:lang w:val="es-ES"/>
              </w:rPr>
              <w:lastRenderedPageBreak/>
              <w:t>Transparencia, acceso a la información y lucha contra la corrupción</w:t>
            </w:r>
          </w:p>
        </w:tc>
        <w:tc>
          <w:tcPr>
            <w:tcW w:w="2219" w:type="dxa"/>
          </w:tcPr>
          <w:p w14:paraId="48FDBC6E" w14:textId="77777777" w:rsidR="00EC7F21" w:rsidRDefault="00EC7F21" w:rsidP="007E48A4">
            <w:pPr>
              <w:jc w:val="center"/>
              <w:rPr>
                <w:lang w:val="es-ES"/>
              </w:rPr>
            </w:pPr>
            <w:r>
              <w:rPr>
                <w:lang w:val="es-ES"/>
              </w:rPr>
              <w:t>85.00%</w:t>
            </w:r>
          </w:p>
        </w:tc>
        <w:tc>
          <w:tcPr>
            <w:tcW w:w="3174" w:type="dxa"/>
          </w:tcPr>
          <w:p w14:paraId="493295BC" w14:textId="31CAD603" w:rsidR="00EC7F21" w:rsidRDefault="00EC7F21" w:rsidP="00721998">
            <w:pPr>
              <w:jc w:val="both"/>
              <w:rPr>
                <w:lang w:val="es-ES"/>
              </w:rPr>
            </w:pPr>
            <w:r>
              <w:rPr>
                <w:lang w:val="es-ES"/>
              </w:rPr>
              <w:t xml:space="preserve">Se actualizó el </w:t>
            </w:r>
            <w:r w:rsidR="00721998">
              <w:rPr>
                <w:lang w:val="es-ES"/>
              </w:rPr>
              <w:t>P</w:t>
            </w:r>
            <w:r>
              <w:rPr>
                <w:lang w:val="es-ES"/>
              </w:rPr>
              <w:t xml:space="preserve">lan </w:t>
            </w:r>
            <w:r w:rsidR="00721998">
              <w:rPr>
                <w:lang w:val="es-ES"/>
              </w:rPr>
              <w:t>A</w:t>
            </w:r>
            <w:r>
              <w:rPr>
                <w:lang w:val="es-ES"/>
              </w:rPr>
              <w:t>nticorrupción</w:t>
            </w:r>
            <w:r w:rsidR="00721998">
              <w:rPr>
                <w:lang w:val="es-ES"/>
              </w:rPr>
              <w:t xml:space="preserve"> y de Atención al Ciudadano</w:t>
            </w:r>
            <w:r>
              <w:rPr>
                <w:lang w:val="es-ES"/>
              </w:rPr>
              <w:t xml:space="preserve"> y el </w:t>
            </w:r>
            <w:r w:rsidR="00721998">
              <w:rPr>
                <w:lang w:val="es-ES"/>
              </w:rPr>
              <w:t>M</w:t>
            </w:r>
            <w:r>
              <w:rPr>
                <w:lang w:val="es-ES"/>
              </w:rPr>
              <w:t xml:space="preserve">apa de </w:t>
            </w:r>
            <w:r w:rsidR="00721998">
              <w:rPr>
                <w:lang w:val="es-ES"/>
              </w:rPr>
              <w:t>R</w:t>
            </w:r>
            <w:r>
              <w:rPr>
                <w:lang w:val="es-ES"/>
              </w:rPr>
              <w:t xml:space="preserve">iesgos de la </w:t>
            </w:r>
            <w:r w:rsidR="00721998">
              <w:rPr>
                <w:lang w:val="es-ES"/>
              </w:rPr>
              <w:t>C</w:t>
            </w:r>
            <w:r>
              <w:rPr>
                <w:lang w:val="es-ES"/>
              </w:rPr>
              <w:t>orrupción y están publicados en la página web de la entidad con su respectiva resolución.</w:t>
            </w:r>
          </w:p>
          <w:p w14:paraId="34A73BF8" w14:textId="0011E576" w:rsidR="00EC7F21" w:rsidRDefault="00EC7F21" w:rsidP="00721998">
            <w:pPr>
              <w:jc w:val="both"/>
              <w:rPr>
                <w:lang w:val="es-ES"/>
              </w:rPr>
            </w:pPr>
            <w:r>
              <w:rPr>
                <w:lang w:val="es-ES"/>
              </w:rPr>
              <w:t>El INFIDER</w:t>
            </w:r>
            <w:r w:rsidR="00721998">
              <w:rPr>
                <w:lang w:val="es-ES"/>
              </w:rPr>
              <w:t xml:space="preserve"> continúa</w:t>
            </w:r>
            <w:r>
              <w:rPr>
                <w:lang w:val="es-ES"/>
              </w:rPr>
              <w:t xml:space="preserve"> en</w:t>
            </w:r>
            <w:r w:rsidR="00721998">
              <w:rPr>
                <w:lang w:val="es-ES"/>
              </w:rPr>
              <w:t xml:space="preserve"> el</w:t>
            </w:r>
            <w:r>
              <w:rPr>
                <w:lang w:val="es-ES"/>
              </w:rPr>
              <w:t xml:space="preserve"> proceso de realizar una reestructuración y actualización de la página web y que contenga el link de transparencia de acuerdo a los lineamientos de la política de </w:t>
            </w:r>
            <w:r w:rsidR="00721998">
              <w:rPr>
                <w:lang w:val="es-ES"/>
              </w:rPr>
              <w:t>G</w:t>
            </w:r>
            <w:r>
              <w:rPr>
                <w:lang w:val="es-ES"/>
              </w:rPr>
              <w:t xml:space="preserve">obierno </w:t>
            </w:r>
            <w:r w:rsidR="00721998">
              <w:rPr>
                <w:lang w:val="es-ES"/>
              </w:rPr>
              <w:t>D</w:t>
            </w:r>
            <w:r>
              <w:rPr>
                <w:lang w:val="es-ES"/>
              </w:rPr>
              <w:t>igital.</w:t>
            </w:r>
          </w:p>
        </w:tc>
      </w:tr>
      <w:tr w:rsidR="00EC7F21" w14:paraId="01ACD57A" w14:textId="77777777" w:rsidTr="007E48A4">
        <w:trPr>
          <w:trHeight w:val="293"/>
        </w:trPr>
        <w:tc>
          <w:tcPr>
            <w:tcW w:w="3686" w:type="dxa"/>
          </w:tcPr>
          <w:p w14:paraId="378B1BF6" w14:textId="77777777" w:rsidR="00EC7F21" w:rsidRPr="006E624A" w:rsidRDefault="00EC7F21" w:rsidP="007E48A4">
            <w:pPr>
              <w:ind w:left="360"/>
              <w:rPr>
                <w:lang w:val="es-ES"/>
              </w:rPr>
            </w:pPr>
            <w:r w:rsidRPr="006E624A">
              <w:rPr>
                <w:lang w:val="es-ES"/>
              </w:rPr>
              <w:t>Servicio al Ciudadano</w:t>
            </w:r>
          </w:p>
          <w:p w14:paraId="6EBC6FA6" w14:textId="77777777" w:rsidR="00EC7F21" w:rsidRPr="006E624A" w:rsidRDefault="00EC7F21" w:rsidP="007E48A4">
            <w:pPr>
              <w:ind w:left="360"/>
              <w:rPr>
                <w:lang w:val="es-ES"/>
              </w:rPr>
            </w:pPr>
          </w:p>
        </w:tc>
        <w:tc>
          <w:tcPr>
            <w:tcW w:w="2219" w:type="dxa"/>
          </w:tcPr>
          <w:p w14:paraId="4E1437DA" w14:textId="77777777" w:rsidR="00EC7F21" w:rsidRDefault="00EC7F21" w:rsidP="007E48A4">
            <w:pPr>
              <w:jc w:val="center"/>
              <w:rPr>
                <w:lang w:val="es-ES"/>
              </w:rPr>
            </w:pPr>
            <w:r>
              <w:rPr>
                <w:lang w:val="es-ES"/>
              </w:rPr>
              <w:t>65.6%</w:t>
            </w:r>
          </w:p>
        </w:tc>
        <w:tc>
          <w:tcPr>
            <w:tcW w:w="3174" w:type="dxa"/>
          </w:tcPr>
          <w:p w14:paraId="78AF8C78" w14:textId="77777777" w:rsidR="00EC7F21" w:rsidRDefault="00EC7F21" w:rsidP="007E48A4">
            <w:pPr>
              <w:jc w:val="both"/>
              <w:rPr>
                <w:lang w:val="es-ES"/>
              </w:rPr>
            </w:pPr>
            <w:r>
              <w:rPr>
                <w:lang w:val="es-ES"/>
              </w:rPr>
              <w:t>Continuar trabajando en esta política de servicio al ciudadano identificados como nuestros grupos de valor, se debe continuar con la implementación de esta política.</w:t>
            </w:r>
          </w:p>
        </w:tc>
      </w:tr>
      <w:tr w:rsidR="00EC7F21" w14:paraId="3EBBF41A" w14:textId="77777777" w:rsidTr="007E48A4">
        <w:trPr>
          <w:trHeight w:val="293"/>
        </w:trPr>
        <w:tc>
          <w:tcPr>
            <w:tcW w:w="3686" w:type="dxa"/>
          </w:tcPr>
          <w:p w14:paraId="5E8662CA" w14:textId="77777777" w:rsidR="00EC7F21" w:rsidRDefault="00EC7F21" w:rsidP="007E48A4">
            <w:pPr>
              <w:ind w:left="360"/>
              <w:rPr>
                <w:lang w:val="es-ES"/>
              </w:rPr>
            </w:pPr>
            <w:r w:rsidRPr="006E624A">
              <w:rPr>
                <w:lang w:val="es-ES"/>
              </w:rPr>
              <w:t>Participación Ciudadana en la Gestión Pública</w:t>
            </w:r>
          </w:p>
        </w:tc>
        <w:tc>
          <w:tcPr>
            <w:tcW w:w="2219" w:type="dxa"/>
          </w:tcPr>
          <w:p w14:paraId="6488C570" w14:textId="77777777" w:rsidR="00EC7F21" w:rsidRDefault="00EC7F21" w:rsidP="007E48A4">
            <w:pPr>
              <w:jc w:val="center"/>
              <w:rPr>
                <w:lang w:val="es-ES"/>
              </w:rPr>
            </w:pPr>
            <w:r>
              <w:rPr>
                <w:lang w:val="es-ES"/>
              </w:rPr>
              <w:t>66.9%</w:t>
            </w:r>
          </w:p>
        </w:tc>
        <w:tc>
          <w:tcPr>
            <w:tcW w:w="3174" w:type="dxa"/>
          </w:tcPr>
          <w:p w14:paraId="6E0B334D" w14:textId="77777777" w:rsidR="00EC7F21" w:rsidRDefault="00EC7F21" w:rsidP="007E48A4">
            <w:pPr>
              <w:jc w:val="both"/>
              <w:rPr>
                <w:lang w:val="es-ES"/>
              </w:rPr>
            </w:pPr>
            <w:r>
              <w:rPr>
                <w:lang w:val="es-ES"/>
              </w:rPr>
              <w:t>Continuar con la implementación de una estrategia de participación ciudadana en la gestión pública.</w:t>
            </w:r>
          </w:p>
        </w:tc>
      </w:tr>
      <w:tr w:rsidR="00EC7F21" w14:paraId="73513734" w14:textId="77777777" w:rsidTr="007E48A4">
        <w:trPr>
          <w:trHeight w:val="293"/>
        </w:trPr>
        <w:tc>
          <w:tcPr>
            <w:tcW w:w="3686" w:type="dxa"/>
          </w:tcPr>
          <w:p w14:paraId="4B906F46" w14:textId="77777777" w:rsidR="00EC7F21" w:rsidRPr="006E624A" w:rsidRDefault="00EC7F21" w:rsidP="007E48A4">
            <w:pPr>
              <w:ind w:left="316"/>
              <w:jc w:val="both"/>
              <w:rPr>
                <w:lang w:val="es-ES"/>
              </w:rPr>
            </w:pPr>
            <w:r w:rsidRPr="006E624A">
              <w:rPr>
                <w:lang w:val="es-ES"/>
              </w:rPr>
              <w:t>Racionalización de Trámites</w:t>
            </w:r>
          </w:p>
          <w:p w14:paraId="7F09A47F" w14:textId="77777777" w:rsidR="00EC7F21" w:rsidRDefault="00EC7F21" w:rsidP="007E48A4">
            <w:pPr>
              <w:ind w:left="316"/>
              <w:jc w:val="both"/>
              <w:rPr>
                <w:lang w:val="es-ES"/>
              </w:rPr>
            </w:pPr>
          </w:p>
        </w:tc>
        <w:tc>
          <w:tcPr>
            <w:tcW w:w="2219" w:type="dxa"/>
          </w:tcPr>
          <w:p w14:paraId="2FF894B3" w14:textId="77777777" w:rsidR="00EC7F21" w:rsidRDefault="00EC7F21" w:rsidP="007E48A4">
            <w:pPr>
              <w:jc w:val="center"/>
              <w:rPr>
                <w:lang w:val="es-ES"/>
              </w:rPr>
            </w:pPr>
            <w:r>
              <w:rPr>
                <w:lang w:val="es-ES"/>
              </w:rPr>
              <w:t>65.5%</w:t>
            </w:r>
          </w:p>
        </w:tc>
        <w:tc>
          <w:tcPr>
            <w:tcW w:w="3174" w:type="dxa"/>
          </w:tcPr>
          <w:p w14:paraId="6E6D548A" w14:textId="77777777" w:rsidR="00EC7F21" w:rsidRPr="002A7171" w:rsidRDefault="00EC7F21" w:rsidP="007E48A4">
            <w:pPr>
              <w:jc w:val="both"/>
              <w:rPr>
                <w:rFonts w:cstheme="minorHAnsi"/>
                <w:lang w:val="es-ES"/>
              </w:rPr>
            </w:pPr>
            <w:r w:rsidRPr="002A7171">
              <w:rPr>
                <w:rFonts w:cstheme="minorHAnsi"/>
                <w:lang w:val="es-ES"/>
              </w:rPr>
              <w:t>El INFIDER sigue en la construcción de la política de racionalización de trámites de acuerdo a los lineamientos del SUIT, para</w:t>
            </w:r>
            <w:r>
              <w:rPr>
                <w:rFonts w:cstheme="minorHAnsi"/>
                <w:lang w:val="es-ES"/>
              </w:rPr>
              <w:t xml:space="preserve"> </w:t>
            </w:r>
            <w:r w:rsidRPr="002A7171">
              <w:rPr>
                <w:rFonts w:cstheme="minorHAnsi"/>
                <w:lang w:val="es-ES"/>
              </w:rPr>
              <w:t xml:space="preserve">contribuir así </w:t>
            </w:r>
            <w:r w:rsidRPr="002A7171">
              <w:rPr>
                <w:rFonts w:cstheme="minorHAnsi"/>
                <w:color w:val="222222"/>
                <w:shd w:val="clear" w:color="auto" w:fill="FFFFFF"/>
              </w:rPr>
              <w:t>con el fortalecimiento y el principio de transparencia, evitando la generación de focos de corrupción.</w:t>
            </w:r>
          </w:p>
        </w:tc>
      </w:tr>
      <w:tr w:rsidR="00EC7F21" w14:paraId="28B7907F" w14:textId="77777777" w:rsidTr="007E48A4">
        <w:trPr>
          <w:trHeight w:val="293"/>
        </w:trPr>
        <w:tc>
          <w:tcPr>
            <w:tcW w:w="3686" w:type="dxa"/>
          </w:tcPr>
          <w:p w14:paraId="0DBFB683" w14:textId="77777777" w:rsidR="00EC7F21" w:rsidRPr="006E624A" w:rsidRDefault="00EC7F21" w:rsidP="007E48A4">
            <w:pPr>
              <w:ind w:left="316"/>
              <w:jc w:val="both"/>
              <w:rPr>
                <w:lang w:val="es-ES"/>
              </w:rPr>
            </w:pPr>
            <w:r w:rsidRPr="006E624A">
              <w:rPr>
                <w:lang w:val="es-ES"/>
              </w:rPr>
              <w:t>Gestión Documental</w:t>
            </w:r>
          </w:p>
          <w:p w14:paraId="0EC9735E" w14:textId="77777777" w:rsidR="00EC7F21" w:rsidRDefault="00EC7F21" w:rsidP="007E48A4">
            <w:pPr>
              <w:ind w:left="316"/>
              <w:jc w:val="both"/>
              <w:rPr>
                <w:lang w:val="es-ES"/>
              </w:rPr>
            </w:pPr>
          </w:p>
        </w:tc>
        <w:tc>
          <w:tcPr>
            <w:tcW w:w="2219" w:type="dxa"/>
          </w:tcPr>
          <w:p w14:paraId="615BA454" w14:textId="77777777" w:rsidR="00EC7F21" w:rsidRDefault="00EC7F21" w:rsidP="007E48A4">
            <w:pPr>
              <w:jc w:val="center"/>
              <w:rPr>
                <w:lang w:val="es-ES"/>
              </w:rPr>
            </w:pPr>
            <w:r>
              <w:rPr>
                <w:lang w:val="es-ES"/>
              </w:rPr>
              <w:t>67,5%</w:t>
            </w:r>
          </w:p>
        </w:tc>
        <w:tc>
          <w:tcPr>
            <w:tcW w:w="3174" w:type="dxa"/>
          </w:tcPr>
          <w:p w14:paraId="13BC19CA" w14:textId="77777777" w:rsidR="00EC7F21" w:rsidRPr="00AE3FC8" w:rsidRDefault="00EC7F21" w:rsidP="007E48A4">
            <w:pPr>
              <w:jc w:val="both"/>
              <w:rPr>
                <w:lang w:val="es-CO"/>
              </w:rPr>
            </w:pPr>
            <w:r w:rsidRPr="00AE3FC8">
              <w:rPr>
                <w:bCs/>
                <w:lang w:val="es-ES"/>
              </w:rPr>
              <w:t>Se construyeron los siguientes productos:</w:t>
            </w:r>
          </w:p>
          <w:p w14:paraId="323603BF" w14:textId="77777777" w:rsidR="00EC7F21" w:rsidRPr="00AE3FC8" w:rsidRDefault="00EC7F21" w:rsidP="00EC7F21">
            <w:pPr>
              <w:numPr>
                <w:ilvl w:val="0"/>
                <w:numId w:val="22"/>
              </w:numPr>
              <w:jc w:val="both"/>
              <w:rPr>
                <w:lang w:val="es-CO"/>
              </w:rPr>
            </w:pPr>
            <w:r w:rsidRPr="00AE3FC8">
              <w:rPr>
                <w:bCs/>
                <w:lang w:val="es-ES"/>
              </w:rPr>
              <w:lastRenderedPageBreak/>
              <w:t>Plan institucional de archivos (PINAR).</w:t>
            </w:r>
          </w:p>
          <w:p w14:paraId="295B4DFF" w14:textId="77777777" w:rsidR="0059718B" w:rsidRPr="0059718B" w:rsidRDefault="00EC7F21" w:rsidP="007E48A4">
            <w:pPr>
              <w:numPr>
                <w:ilvl w:val="0"/>
                <w:numId w:val="22"/>
              </w:numPr>
              <w:jc w:val="both"/>
              <w:rPr>
                <w:lang w:val="es-CO"/>
              </w:rPr>
            </w:pPr>
            <w:r w:rsidRPr="00AE3FC8">
              <w:rPr>
                <w:bCs/>
                <w:lang w:val="es-ES"/>
              </w:rPr>
              <w:t>Se definieron los roles del equipo de trabajo para la organización del archivo y para dar lineamientos para la administración del archivo central.</w:t>
            </w:r>
          </w:p>
          <w:p w14:paraId="2683035F" w14:textId="31F60BF1" w:rsidR="00EC7F21" w:rsidRPr="0059718B" w:rsidRDefault="0059718B" w:rsidP="007E48A4">
            <w:pPr>
              <w:numPr>
                <w:ilvl w:val="0"/>
                <w:numId w:val="22"/>
              </w:numPr>
              <w:jc w:val="both"/>
              <w:rPr>
                <w:lang w:val="es-CO"/>
              </w:rPr>
            </w:pPr>
            <w:r>
              <w:rPr>
                <w:bCs/>
                <w:lang w:val="es-ES"/>
              </w:rPr>
              <w:t xml:space="preserve">Se </w:t>
            </w:r>
            <w:r w:rsidR="00EC7F21" w:rsidRPr="0059718B">
              <w:rPr>
                <w:bCs/>
                <w:lang w:val="es-ES"/>
              </w:rPr>
              <w:t>está revisando el Manual de Archivo y Correspondencia, el cual se encuentra desactualizado.</w:t>
            </w:r>
          </w:p>
          <w:p w14:paraId="4734F3B1" w14:textId="4ED39153" w:rsidR="0059718B" w:rsidRPr="0059718B" w:rsidRDefault="0059718B" w:rsidP="007E48A4">
            <w:pPr>
              <w:numPr>
                <w:ilvl w:val="0"/>
                <w:numId w:val="22"/>
              </w:numPr>
              <w:jc w:val="both"/>
              <w:rPr>
                <w:lang w:val="es-CO"/>
              </w:rPr>
            </w:pPr>
            <w:r>
              <w:rPr>
                <w:lang w:val="es-CO"/>
              </w:rPr>
              <w:t>Se están revisando las TRD para actualizarlas.</w:t>
            </w:r>
          </w:p>
          <w:p w14:paraId="0B251587" w14:textId="77777777" w:rsidR="00EC7F21" w:rsidRDefault="00EC7F21" w:rsidP="007E48A4">
            <w:pPr>
              <w:jc w:val="both"/>
              <w:rPr>
                <w:lang w:val="es-ES"/>
              </w:rPr>
            </w:pPr>
            <w:r>
              <w:rPr>
                <w:lang w:val="es-ES"/>
              </w:rPr>
              <w:t>Continuar con la Construcción de los instrumentos archivísticos faltantes e implementarlos.</w:t>
            </w:r>
          </w:p>
        </w:tc>
      </w:tr>
      <w:tr w:rsidR="00EC7F21" w14:paraId="5B48E4EA" w14:textId="77777777" w:rsidTr="007E48A4">
        <w:trPr>
          <w:trHeight w:val="293"/>
        </w:trPr>
        <w:tc>
          <w:tcPr>
            <w:tcW w:w="3686" w:type="dxa"/>
          </w:tcPr>
          <w:p w14:paraId="252F114F" w14:textId="77777777" w:rsidR="00EC7F21" w:rsidRPr="006E624A" w:rsidRDefault="00EC7F21" w:rsidP="007E48A4">
            <w:pPr>
              <w:ind w:left="316"/>
              <w:rPr>
                <w:lang w:val="es-ES"/>
              </w:rPr>
            </w:pPr>
            <w:r w:rsidRPr="006E624A">
              <w:rPr>
                <w:lang w:val="es-ES"/>
              </w:rPr>
              <w:lastRenderedPageBreak/>
              <w:t>Gobierno Digital</w:t>
            </w:r>
          </w:p>
          <w:p w14:paraId="19B7CDE2" w14:textId="77777777" w:rsidR="00EC7F21" w:rsidRDefault="00EC7F21" w:rsidP="007E48A4">
            <w:pPr>
              <w:ind w:left="316"/>
              <w:rPr>
                <w:lang w:val="es-ES"/>
              </w:rPr>
            </w:pPr>
          </w:p>
        </w:tc>
        <w:tc>
          <w:tcPr>
            <w:tcW w:w="2219" w:type="dxa"/>
          </w:tcPr>
          <w:p w14:paraId="3B6203D6" w14:textId="77777777" w:rsidR="00EC7F21" w:rsidRDefault="00EC7F21" w:rsidP="007E48A4">
            <w:pPr>
              <w:jc w:val="center"/>
              <w:rPr>
                <w:lang w:val="es-ES"/>
              </w:rPr>
            </w:pPr>
            <w:r>
              <w:rPr>
                <w:lang w:val="es-ES"/>
              </w:rPr>
              <w:t>79,8%</w:t>
            </w:r>
          </w:p>
        </w:tc>
        <w:tc>
          <w:tcPr>
            <w:tcW w:w="3174" w:type="dxa"/>
          </w:tcPr>
          <w:p w14:paraId="3A39ED14" w14:textId="1AA772A7" w:rsidR="00EC7F21" w:rsidRDefault="00EC7F21" w:rsidP="007E48A4">
            <w:pPr>
              <w:jc w:val="both"/>
              <w:rPr>
                <w:lang w:val="es-ES"/>
              </w:rPr>
            </w:pPr>
            <w:r>
              <w:rPr>
                <w:lang w:val="es-ES"/>
              </w:rPr>
              <w:t>Continuar con la Implementación de todos los documentos definidos en el proceso de Tecnología y en el PETI</w:t>
            </w:r>
            <w:r w:rsidR="00E50114">
              <w:rPr>
                <w:lang w:val="es-ES"/>
              </w:rPr>
              <w:t>.</w:t>
            </w:r>
          </w:p>
        </w:tc>
      </w:tr>
      <w:tr w:rsidR="00EC7F21" w14:paraId="14BBEC78" w14:textId="77777777" w:rsidTr="007E48A4">
        <w:trPr>
          <w:trHeight w:val="293"/>
        </w:trPr>
        <w:tc>
          <w:tcPr>
            <w:tcW w:w="3686" w:type="dxa"/>
          </w:tcPr>
          <w:p w14:paraId="1682DE3F" w14:textId="77777777" w:rsidR="00EC7F21" w:rsidRPr="006E624A" w:rsidRDefault="00EC7F21" w:rsidP="007E48A4">
            <w:pPr>
              <w:ind w:left="316"/>
              <w:rPr>
                <w:lang w:val="es-ES"/>
              </w:rPr>
            </w:pPr>
            <w:r w:rsidRPr="006E624A">
              <w:rPr>
                <w:lang w:val="es-ES"/>
              </w:rPr>
              <w:t>Seguridad Digital</w:t>
            </w:r>
            <w:r>
              <w:rPr>
                <w:lang w:val="es-ES"/>
              </w:rPr>
              <w:t xml:space="preserve"> (Ver el resultado en la política de Gobierno Digital)</w:t>
            </w:r>
          </w:p>
          <w:p w14:paraId="3594C651" w14:textId="77777777" w:rsidR="00EC7F21" w:rsidRDefault="00EC7F21" w:rsidP="007E48A4">
            <w:pPr>
              <w:ind w:left="316"/>
              <w:rPr>
                <w:lang w:val="es-ES"/>
              </w:rPr>
            </w:pPr>
          </w:p>
        </w:tc>
        <w:tc>
          <w:tcPr>
            <w:tcW w:w="2219" w:type="dxa"/>
          </w:tcPr>
          <w:p w14:paraId="2788EA71" w14:textId="77777777" w:rsidR="00EC7F21" w:rsidRDefault="00EC7F21" w:rsidP="007E48A4">
            <w:pPr>
              <w:jc w:val="center"/>
              <w:rPr>
                <w:lang w:val="es-ES"/>
              </w:rPr>
            </w:pPr>
            <w:r>
              <w:rPr>
                <w:lang w:val="es-ES"/>
              </w:rPr>
              <w:t>75,7%</w:t>
            </w:r>
          </w:p>
        </w:tc>
        <w:tc>
          <w:tcPr>
            <w:tcW w:w="3174" w:type="dxa"/>
          </w:tcPr>
          <w:p w14:paraId="4A96C2CC" w14:textId="77777777" w:rsidR="00EC7F21" w:rsidRDefault="00EC7F21" w:rsidP="007E48A4">
            <w:pPr>
              <w:jc w:val="both"/>
              <w:rPr>
                <w:lang w:val="es-ES"/>
              </w:rPr>
            </w:pPr>
            <w:r>
              <w:rPr>
                <w:lang w:val="es-ES"/>
              </w:rPr>
              <w:t>Continuar con la Implementación de todos los documentos definidos en el proceso de Tecnología y en el PETI.</w:t>
            </w:r>
          </w:p>
        </w:tc>
      </w:tr>
      <w:tr w:rsidR="00EC7F21" w14:paraId="251907D5" w14:textId="77777777" w:rsidTr="007E48A4">
        <w:trPr>
          <w:trHeight w:val="293"/>
        </w:trPr>
        <w:tc>
          <w:tcPr>
            <w:tcW w:w="3686" w:type="dxa"/>
          </w:tcPr>
          <w:p w14:paraId="086B81B4" w14:textId="77777777" w:rsidR="00EC7F21" w:rsidRPr="006E624A" w:rsidRDefault="00EC7F21" w:rsidP="007E48A4">
            <w:pPr>
              <w:ind w:left="316"/>
              <w:rPr>
                <w:lang w:val="es-ES"/>
              </w:rPr>
            </w:pPr>
            <w:r w:rsidRPr="006E624A">
              <w:rPr>
                <w:lang w:val="es-ES"/>
              </w:rPr>
              <w:t>Defensa Jurídica</w:t>
            </w:r>
          </w:p>
          <w:p w14:paraId="1F5B7C28" w14:textId="77777777" w:rsidR="00EC7F21" w:rsidRDefault="00EC7F21" w:rsidP="007E48A4">
            <w:pPr>
              <w:ind w:left="316"/>
              <w:rPr>
                <w:lang w:val="es-ES"/>
              </w:rPr>
            </w:pPr>
          </w:p>
        </w:tc>
        <w:tc>
          <w:tcPr>
            <w:tcW w:w="2219" w:type="dxa"/>
          </w:tcPr>
          <w:p w14:paraId="13B6D2FD" w14:textId="77777777" w:rsidR="00EC7F21" w:rsidRDefault="00EC7F21" w:rsidP="007E48A4">
            <w:pPr>
              <w:jc w:val="center"/>
              <w:rPr>
                <w:lang w:val="es-ES"/>
              </w:rPr>
            </w:pPr>
            <w:r>
              <w:rPr>
                <w:lang w:val="es-ES"/>
              </w:rPr>
              <w:t>70%</w:t>
            </w:r>
          </w:p>
        </w:tc>
        <w:tc>
          <w:tcPr>
            <w:tcW w:w="3174" w:type="dxa"/>
          </w:tcPr>
          <w:p w14:paraId="07E13C54" w14:textId="77777777" w:rsidR="00E50114" w:rsidRDefault="00E50114" w:rsidP="007E48A4">
            <w:pPr>
              <w:jc w:val="both"/>
              <w:rPr>
                <w:lang w:val="es-ES"/>
              </w:rPr>
            </w:pPr>
            <w:r>
              <w:rPr>
                <w:lang w:val="es-ES"/>
              </w:rPr>
              <w:t xml:space="preserve">La Oficina Asesora Jurídica del INFIDER presentó al Comité de Cartera de la entidad un informe detallado de los procesos que adelanta el INFIDER. </w:t>
            </w:r>
          </w:p>
          <w:p w14:paraId="67C9002F" w14:textId="369B88F0" w:rsidR="00EC7F21" w:rsidRDefault="00EC7F21" w:rsidP="007E48A4">
            <w:pPr>
              <w:jc w:val="both"/>
              <w:rPr>
                <w:lang w:val="es-ES"/>
              </w:rPr>
            </w:pPr>
            <w:r>
              <w:rPr>
                <w:lang w:val="es-ES"/>
              </w:rPr>
              <w:t>Se realizó y se documentó los procedimientos de Defensa Jurídica y el comité de conciliación está actualizado y las actas al día.</w:t>
            </w:r>
          </w:p>
        </w:tc>
      </w:tr>
      <w:tr w:rsidR="00EC7F21" w14:paraId="00C961D8" w14:textId="77777777" w:rsidTr="007E48A4">
        <w:trPr>
          <w:trHeight w:val="293"/>
        </w:trPr>
        <w:tc>
          <w:tcPr>
            <w:tcW w:w="3686" w:type="dxa"/>
          </w:tcPr>
          <w:p w14:paraId="4C4E3A6A" w14:textId="77777777" w:rsidR="00EC7F21" w:rsidRDefault="00EC7F21" w:rsidP="007E48A4">
            <w:pPr>
              <w:ind w:left="316"/>
              <w:rPr>
                <w:lang w:val="es-ES"/>
              </w:rPr>
            </w:pPr>
            <w:r w:rsidRPr="006E624A">
              <w:rPr>
                <w:lang w:val="es-ES"/>
              </w:rPr>
              <w:t>Gestión del Conocimiento y la Innovación</w:t>
            </w:r>
          </w:p>
        </w:tc>
        <w:tc>
          <w:tcPr>
            <w:tcW w:w="2219" w:type="dxa"/>
          </w:tcPr>
          <w:p w14:paraId="7023CBA6" w14:textId="77777777" w:rsidR="00EC7F21" w:rsidRDefault="00EC7F21" w:rsidP="007E48A4">
            <w:pPr>
              <w:jc w:val="center"/>
              <w:rPr>
                <w:lang w:val="es-ES"/>
              </w:rPr>
            </w:pPr>
            <w:r>
              <w:rPr>
                <w:lang w:val="es-ES"/>
              </w:rPr>
              <w:t>65,1%</w:t>
            </w:r>
          </w:p>
        </w:tc>
        <w:tc>
          <w:tcPr>
            <w:tcW w:w="3174" w:type="dxa"/>
          </w:tcPr>
          <w:p w14:paraId="284882A9" w14:textId="27EC6FA7" w:rsidR="00EC7F21" w:rsidRDefault="00EC7F21" w:rsidP="007E48A4">
            <w:pPr>
              <w:jc w:val="both"/>
              <w:rPr>
                <w:lang w:val="es-ES"/>
              </w:rPr>
            </w:pPr>
            <w:r>
              <w:rPr>
                <w:lang w:val="es-ES"/>
              </w:rPr>
              <w:t xml:space="preserve">Se </w:t>
            </w:r>
            <w:r w:rsidR="00E50114">
              <w:rPr>
                <w:lang w:val="es-ES"/>
              </w:rPr>
              <w:t xml:space="preserve">continúa </w:t>
            </w:r>
            <w:r>
              <w:rPr>
                <w:lang w:val="es-ES"/>
              </w:rPr>
              <w:t xml:space="preserve">trabajando en el procedimiento para tener la </w:t>
            </w:r>
            <w:r>
              <w:rPr>
                <w:lang w:val="es-ES"/>
              </w:rPr>
              <w:lastRenderedPageBreak/>
              <w:t>gestión del conocimiento y la innovación.</w:t>
            </w:r>
          </w:p>
        </w:tc>
      </w:tr>
      <w:tr w:rsidR="00EC7F21" w14:paraId="71BB0F8E" w14:textId="77777777" w:rsidTr="007E48A4">
        <w:trPr>
          <w:trHeight w:val="293"/>
        </w:trPr>
        <w:tc>
          <w:tcPr>
            <w:tcW w:w="3686" w:type="dxa"/>
          </w:tcPr>
          <w:p w14:paraId="48BB43C8" w14:textId="77777777" w:rsidR="00EC7F21" w:rsidRPr="006E624A" w:rsidRDefault="00EC7F21" w:rsidP="007E48A4">
            <w:pPr>
              <w:ind w:left="316"/>
              <w:rPr>
                <w:lang w:val="es-ES"/>
              </w:rPr>
            </w:pPr>
            <w:r w:rsidRPr="006E624A">
              <w:rPr>
                <w:lang w:val="es-ES"/>
              </w:rPr>
              <w:lastRenderedPageBreak/>
              <w:t>Control Interno</w:t>
            </w:r>
          </w:p>
          <w:p w14:paraId="53241EDB" w14:textId="77777777" w:rsidR="00EC7F21" w:rsidRDefault="00EC7F21" w:rsidP="007E48A4">
            <w:pPr>
              <w:ind w:left="316"/>
              <w:rPr>
                <w:lang w:val="es-ES"/>
              </w:rPr>
            </w:pPr>
          </w:p>
        </w:tc>
        <w:tc>
          <w:tcPr>
            <w:tcW w:w="2219" w:type="dxa"/>
          </w:tcPr>
          <w:p w14:paraId="2BC09CA3" w14:textId="77777777" w:rsidR="00EC7F21" w:rsidRDefault="00EC7F21" w:rsidP="007E48A4">
            <w:pPr>
              <w:jc w:val="center"/>
              <w:rPr>
                <w:lang w:val="es-ES"/>
              </w:rPr>
            </w:pPr>
            <w:r>
              <w:rPr>
                <w:lang w:val="es-ES"/>
              </w:rPr>
              <w:t>90,3%</w:t>
            </w:r>
          </w:p>
        </w:tc>
        <w:tc>
          <w:tcPr>
            <w:tcW w:w="3174" w:type="dxa"/>
          </w:tcPr>
          <w:p w14:paraId="26286D8B" w14:textId="33B7C0A2" w:rsidR="00E50114" w:rsidRDefault="00EC7F21" w:rsidP="007E48A4">
            <w:pPr>
              <w:jc w:val="both"/>
              <w:rPr>
                <w:lang w:val="es-ES"/>
              </w:rPr>
            </w:pPr>
            <w:r>
              <w:rPr>
                <w:lang w:val="es-ES"/>
              </w:rPr>
              <w:t>Se construyó el Manual de Auditorias, Código de Ética del Auditor de acuerdo a las políticas del MIPG</w:t>
            </w:r>
            <w:r w:rsidR="00E50114">
              <w:rPr>
                <w:lang w:val="es-ES"/>
              </w:rPr>
              <w:t>.</w:t>
            </w:r>
          </w:p>
          <w:p w14:paraId="31FC1C02" w14:textId="77777777" w:rsidR="00EC7F21" w:rsidRDefault="00E50114" w:rsidP="007E48A4">
            <w:pPr>
              <w:jc w:val="both"/>
              <w:rPr>
                <w:lang w:val="es-ES"/>
              </w:rPr>
            </w:pPr>
            <w:r>
              <w:rPr>
                <w:lang w:val="es-ES"/>
              </w:rPr>
              <w:t>S</w:t>
            </w:r>
            <w:r w:rsidR="00EC7F21">
              <w:rPr>
                <w:lang w:val="es-ES"/>
              </w:rPr>
              <w:t>e</w:t>
            </w:r>
            <w:r>
              <w:rPr>
                <w:lang w:val="es-ES"/>
              </w:rPr>
              <w:t xml:space="preserve"> construyó</w:t>
            </w:r>
            <w:r w:rsidR="00EC7F21">
              <w:rPr>
                <w:lang w:val="es-ES"/>
              </w:rPr>
              <w:t xml:space="preserve"> el plan de auditorías </w:t>
            </w:r>
            <w:r>
              <w:rPr>
                <w:lang w:val="es-ES"/>
              </w:rPr>
              <w:t xml:space="preserve">vigencia 2020 </w:t>
            </w:r>
            <w:r w:rsidR="00EC7F21">
              <w:rPr>
                <w:lang w:val="es-ES"/>
              </w:rPr>
              <w:t xml:space="preserve">para ser presentado al comité institucional de coordinación de control interno </w:t>
            </w:r>
            <w:r>
              <w:rPr>
                <w:lang w:val="es-ES"/>
              </w:rPr>
              <w:t>el cual fue aprobado.</w:t>
            </w:r>
          </w:p>
          <w:p w14:paraId="1745F455" w14:textId="29D2C879" w:rsidR="00E50114" w:rsidRDefault="00E50114" w:rsidP="007E48A4">
            <w:pPr>
              <w:jc w:val="both"/>
              <w:rPr>
                <w:lang w:val="es-ES"/>
              </w:rPr>
            </w:pPr>
            <w:r>
              <w:rPr>
                <w:lang w:val="es-ES"/>
              </w:rPr>
              <w:t>A la fecha se está realizando la respectiva auditoría al sistema de control interno del INFIDER de acuerdo a sus procesos.</w:t>
            </w:r>
          </w:p>
        </w:tc>
      </w:tr>
      <w:tr w:rsidR="00EC7F21" w14:paraId="34778628" w14:textId="77777777" w:rsidTr="007E48A4">
        <w:trPr>
          <w:trHeight w:val="293"/>
        </w:trPr>
        <w:tc>
          <w:tcPr>
            <w:tcW w:w="3686" w:type="dxa"/>
          </w:tcPr>
          <w:p w14:paraId="3050C102" w14:textId="77777777" w:rsidR="00EC7F21" w:rsidRDefault="00EC7F21" w:rsidP="007E48A4">
            <w:pPr>
              <w:ind w:left="316"/>
              <w:rPr>
                <w:lang w:val="es-ES"/>
              </w:rPr>
            </w:pPr>
            <w:r w:rsidRPr="006E624A">
              <w:rPr>
                <w:lang w:val="es-ES"/>
              </w:rPr>
              <w:t>Seguimiento y Evaluación al Desempeño Institucional</w:t>
            </w:r>
          </w:p>
        </w:tc>
        <w:tc>
          <w:tcPr>
            <w:tcW w:w="2219" w:type="dxa"/>
          </w:tcPr>
          <w:p w14:paraId="25093E79" w14:textId="77777777" w:rsidR="00EC7F21" w:rsidRDefault="00EC7F21" w:rsidP="007E48A4">
            <w:pPr>
              <w:jc w:val="center"/>
              <w:rPr>
                <w:lang w:val="es-ES"/>
              </w:rPr>
            </w:pPr>
            <w:r>
              <w:rPr>
                <w:lang w:val="es-ES"/>
              </w:rPr>
              <w:t>83,4%</w:t>
            </w:r>
          </w:p>
        </w:tc>
        <w:tc>
          <w:tcPr>
            <w:tcW w:w="3174" w:type="dxa"/>
          </w:tcPr>
          <w:p w14:paraId="6EAE6C24" w14:textId="77777777" w:rsidR="00EC7F21" w:rsidRDefault="00EC7F21" w:rsidP="007E48A4">
            <w:pPr>
              <w:jc w:val="both"/>
              <w:rPr>
                <w:lang w:val="es-ES"/>
              </w:rPr>
            </w:pPr>
            <w:r>
              <w:rPr>
                <w:lang w:val="es-ES"/>
              </w:rPr>
              <w:t>Se sigue trabajando con la dirección administrativa y financiera en el seguimiento y evaluación al desempeño institucional.</w:t>
            </w:r>
          </w:p>
        </w:tc>
      </w:tr>
      <w:tr w:rsidR="00EC7F21" w14:paraId="48BEB71B" w14:textId="77777777" w:rsidTr="007E48A4">
        <w:trPr>
          <w:trHeight w:val="293"/>
        </w:trPr>
        <w:tc>
          <w:tcPr>
            <w:tcW w:w="3686" w:type="dxa"/>
          </w:tcPr>
          <w:p w14:paraId="686287B8" w14:textId="77777777" w:rsidR="00EC7F21" w:rsidRPr="006E624A" w:rsidRDefault="00EC7F21" w:rsidP="007E48A4">
            <w:pPr>
              <w:ind w:left="316"/>
              <w:rPr>
                <w:lang w:val="es-ES"/>
              </w:rPr>
            </w:pPr>
            <w:r>
              <w:rPr>
                <w:lang w:val="es-ES"/>
              </w:rPr>
              <w:t>Cuestionario de rendición de cuentas</w:t>
            </w:r>
          </w:p>
        </w:tc>
        <w:tc>
          <w:tcPr>
            <w:tcW w:w="2219" w:type="dxa"/>
          </w:tcPr>
          <w:p w14:paraId="26FD79DC" w14:textId="77777777" w:rsidR="00EC7F21" w:rsidRDefault="00EC7F21" w:rsidP="007E48A4">
            <w:pPr>
              <w:jc w:val="center"/>
              <w:rPr>
                <w:lang w:val="es-ES"/>
              </w:rPr>
            </w:pPr>
            <w:r>
              <w:rPr>
                <w:lang w:val="es-ES"/>
              </w:rPr>
              <w:t>100.0%</w:t>
            </w:r>
          </w:p>
        </w:tc>
        <w:tc>
          <w:tcPr>
            <w:tcW w:w="3174" w:type="dxa"/>
          </w:tcPr>
          <w:p w14:paraId="6538A27E" w14:textId="7C3EF312" w:rsidR="00EC7F21" w:rsidRDefault="00EC7F21" w:rsidP="007E48A4">
            <w:pPr>
              <w:jc w:val="both"/>
              <w:rPr>
                <w:lang w:val="es-ES"/>
              </w:rPr>
            </w:pPr>
            <w:r>
              <w:rPr>
                <w:lang w:val="es-ES"/>
              </w:rPr>
              <w:t xml:space="preserve">El INFIDER pasa informes periódicos al </w:t>
            </w:r>
            <w:r w:rsidR="00901BF9">
              <w:rPr>
                <w:lang w:val="es-ES"/>
              </w:rPr>
              <w:t>C</w:t>
            </w:r>
            <w:r>
              <w:rPr>
                <w:lang w:val="es-ES"/>
              </w:rPr>
              <w:t xml:space="preserve">onsejo </w:t>
            </w:r>
            <w:r w:rsidR="00901BF9">
              <w:rPr>
                <w:lang w:val="es-ES"/>
              </w:rPr>
              <w:t>D</w:t>
            </w:r>
            <w:r>
              <w:rPr>
                <w:lang w:val="es-ES"/>
              </w:rPr>
              <w:t>irectivo de acuerdo a sus estatutos y en la rendición de cuentas que hace la gobernación va la información pertinente de la entidad.</w:t>
            </w:r>
          </w:p>
        </w:tc>
      </w:tr>
      <w:tr w:rsidR="00EC7F21" w14:paraId="23F09689" w14:textId="77777777" w:rsidTr="007E48A4">
        <w:trPr>
          <w:trHeight w:val="293"/>
        </w:trPr>
        <w:tc>
          <w:tcPr>
            <w:tcW w:w="3686" w:type="dxa"/>
          </w:tcPr>
          <w:p w14:paraId="57835FE6" w14:textId="77777777" w:rsidR="00EC7F21" w:rsidRDefault="00EC7F21" w:rsidP="007E48A4">
            <w:pPr>
              <w:ind w:left="316"/>
              <w:rPr>
                <w:lang w:val="es-ES"/>
              </w:rPr>
            </w:pPr>
            <w:r>
              <w:rPr>
                <w:lang w:val="es-ES"/>
              </w:rPr>
              <w:t>Cuestionario plan anticorrupción y atención al ciudadano.</w:t>
            </w:r>
          </w:p>
        </w:tc>
        <w:tc>
          <w:tcPr>
            <w:tcW w:w="2219" w:type="dxa"/>
          </w:tcPr>
          <w:p w14:paraId="6602D345" w14:textId="77777777" w:rsidR="00EC7F21" w:rsidRDefault="00EC7F21" w:rsidP="007E48A4">
            <w:pPr>
              <w:jc w:val="center"/>
              <w:rPr>
                <w:lang w:val="es-ES"/>
              </w:rPr>
            </w:pPr>
            <w:r>
              <w:rPr>
                <w:lang w:val="es-ES"/>
              </w:rPr>
              <w:t>100.0%</w:t>
            </w:r>
          </w:p>
        </w:tc>
        <w:tc>
          <w:tcPr>
            <w:tcW w:w="3174" w:type="dxa"/>
          </w:tcPr>
          <w:p w14:paraId="156FDA4E" w14:textId="77777777" w:rsidR="00EC7F21" w:rsidRDefault="00EC7F21" w:rsidP="007E48A4">
            <w:pPr>
              <w:jc w:val="both"/>
              <w:rPr>
                <w:lang w:val="es-ES"/>
              </w:rPr>
            </w:pPr>
            <w:r>
              <w:rPr>
                <w:lang w:val="es-ES"/>
              </w:rPr>
              <w:t>La entidad actualizó el plan anticorrupción y el mapa de riesgos de la corrupción para la vigencia 2020 y están publicados en la página web de la entidad con su respectiva resolución.</w:t>
            </w:r>
          </w:p>
          <w:p w14:paraId="7F16ACD0" w14:textId="77777777" w:rsidR="00EC7F21" w:rsidRDefault="00EC7F21" w:rsidP="007E48A4">
            <w:pPr>
              <w:jc w:val="both"/>
              <w:rPr>
                <w:lang w:val="es-ES"/>
              </w:rPr>
            </w:pPr>
            <w:r>
              <w:rPr>
                <w:lang w:val="es-ES"/>
              </w:rPr>
              <w:t>El INFIDER se encuentra en proceso de realizar una reestructuración y actualización de la página web y que contenga el link de transparencia de acuerdo a los lineamientos de la política de gobierno digital.</w:t>
            </w:r>
          </w:p>
        </w:tc>
      </w:tr>
    </w:tbl>
    <w:p w14:paraId="5FCBB9B1" w14:textId="77777777" w:rsidR="00EC7F21" w:rsidRDefault="00EC7F21" w:rsidP="00EC7F21">
      <w:pPr>
        <w:rPr>
          <w:lang w:val="es-ES"/>
        </w:rPr>
      </w:pPr>
    </w:p>
    <w:p w14:paraId="5DE914FB" w14:textId="77777777" w:rsidR="00C9123B" w:rsidRPr="00034ACB" w:rsidRDefault="00C9123B" w:rsidP="00C9123B">
      <w:pPr>
        <w:jc w:val="both"/>
      </w:pPr>
      <w:r>
        <w:lastRenderedPageBreak/>
        <w:t xml:space="preserve">**Política de fortalecimiento organizacional y simplificación de procesos, mejora normativa, no tienen aún herramienta de autodiagnóstico. Se sugiere que se utilice como criterio para la mejora lo definido en el manual operativo v.3 de diciembre de 2019. </w:t>
      </w:r>
    </w:p>
    <w:p w14:paraId="6DEC21D9" w14:textId="77777777" w:rsidR="009B7CB3" w:rsidRPr="009B7CB3" w:rsidRDefault="009B7CB3" w:rsidP="009B7CB3">
      <w:pPr>
        <w:pStyle w:val="Prrafodelista"/>
        <w:jc w:val="both"/>
        <w:rPr>
          <w:lang w:val="es-ES"/>
        </w:rPr>
      </w:pPr>
    </w:p>
    <w:p w14:paraId="16DB86E8" w14:textId="5BDA316A" w:rsidR="009B7CB3" w:rsidRPr="004A3FEC" w:rsidRDefault="009B7CB3" w:rsidP="009B7CB3">
      <w:pPr>
        <w:pStyle w:val="Prrafodelista"/>
        <w:numPr>
          <w:ilvl w:val="0"/>
          <w:numId w:val="19"/>
        </w:numPr>
        <w:jc w:val="both"/>
        <w:rPr>
          <w:lang w:val="es-ES"/>
        </w:rPr>
      </w:pPr>
      <w:r w:rsidRPr="009B7CB3">
        <w:rPr>
          <w:b/>
          <w:lang w:val="es-ES"/>
        </w:rPr>
        <w:t>RELACIONE CUANTOS COMITÉS INSTITUCIONALES SE HAN HECHO</w:t>
      </w:r>
      <w:r w:rsidR="00C65C8D">
        <w:rPr>
          <w:b/>
          <w:lang w:val="es-ES"/>
        </w:rPr>
        <w:t xml:space="preserve"> Y FECHA DE REALIZACIÓN DE LOS MISMOS PARA ESTE PERIODO:</w:t>
      </w:r>
    </w:p>
    <w:p w14:paraId="521C8E20" w14:textId="179C0B94" w:rsidR="004A3FEC" w:rsidRPr="004A3FEC" w:rsidRDefault="004A3FEC" w:rsidP="004A3FEC">
      <w:pPr>
        <w:jc w:val="both"/>
        <w:rPr>
          <w:b/>
          <w:lang w:val="es-ES"/>
        </w:rPr>
      </w:pPr>
    </w:p>
    <w:p w14:paraId="2C853014" w14:textId="77777777" w:rsidR="004A3FEC" w:rsidRPr="009B7CB3" w:rsidRDefault="004A3FEC" w:rsidP="004A3FEC">
      <w:pPr>
        <w:pStyle w:val="Prrafodelista"/>
        <w:jc w:val="both"/>
        <w:rPr>
          <w:lang w:val="es-ES"/>
        </w:rPr>
      </w:pPr>
    </w:p>
    <w:tbl>
      <w:tblPr>
        <w:tblStyle w:val="Tablaconcuadrcula"/>
        <w:tblW w:w="0" w:type="auto"/>
        <w:jc w:val="center"/>
        <w:tblLook w:val="04A0" w:firstRow="1" w:lastRow="0" w:firstColumn="1" w:lastColumn="0" w:noHBand="0" w:noVBand="1"/>
      </w:tblPr>
      <w:tblGrid>
        <w:gridCol w:w="4291"/>
        <w:gridCol w:w="4538"/>
      </w:tblGrid>
      <w:tr w:rsidR="004A3FEC" w:rsidRPr="009B07D6" w14:paraId="6D01BE1A" w14:textId="77777777" w:rsidTr="007E48A4">
        <w:trPr>
          <w:jc w:val="center"/>
        </w:trPr>
        <w:tc>
          <w:tcPr>
            <w:tcW w:w="5511" w:type="dxa"/>
          </w:tcPr>
          <w:p w14:paraId="0C922990" w14:textId="77777777" w:rsidR="004A3FEC" w:rsidRPr="006C34D5" w:rsidRDefault="004A3FEC" w:rsidP="007E48A4">
            <w:pPr>
              <w:jc w:val="both"/>
              <w:rPr>
                <w:rFonts w:cstheme="minorHAnsi"/>
                <w:b/>
                <w:lang w:val="es-ES"/>
              </w:rPr>
            </w:pPr>
            <w:r w:rsidRPr="006C34D5">
              <w:rPr>
                <w:rFonts w:cstheme="minorHAnsi"/>
                <w:b/>
                <w:lang w:val="es-ES"/>
              </w:rPr>
              <w:t>ACTOS ADMINISTRATIVOS RELACIONADOS CON MIPG</w:t>
            </w:r>
          </w:p>
        </w:tc>
        <w:tc>
          <w:tcPr>
            <w:tcW w:w="5966" w:type="dxa"/>
          </w:tcPr>
          <w:p w14:paraId="5E5138ED" w14:textId="77777777" w:rsidR="004A3FEC" w:rsidRPr="006C34D5" w:rsidRDefault="004A3FEC" w:rsidP="007E48A4">
            <w:pPr>
              <w:jc w:val="both"/>
              <w:rPr>
                <w:rFonts w:cstheme="minorHAnsi"/>
                <w:b/>
                <w:lang w:val="es-ES"/>
              </w:rPr>
            </w:pPr>
            <w:r w:rsidRPr="006C34D5">
              <w:rPr>
                <w:rFonts w:cstheme="minorHAnsi"/>
                <w:b/>
                <w:lang w:val="es-ES"/>
              </w:rPr>
              <w:t xml:space="preserve">RELACIONE CUANTOS COMITÉS INSTITUCIONALES SE HAN HECHO Y LAS FECHAS DE REALIZACIÓN DE LOS MISMOS </w:t>
            </w:r>
          </w:p>
        </w:tc>
      </w:tr>
      <w:tr w:rsidR="004A3FEC" w:rsidRPr="002F45BB" w14:paraId="387A0392" w14:textId="77777777" w:rsidTr="007E48A4">
        <w:trPr>
          <w:jc w:val="center"/>
        </w:trPr>
        <w:tc>
          <w:tcPr>
            <w:tcW w:w="5511" w:type="dxa"/>
          </w:tcPr>
          <w:p w14:paraId="76E6DBC3" w14:textId="77777777" w:rsidR="004A3FEC" w:rsidRPr="006C34D5" w:rsidRDefault="004A3FEC" w:rsidP="007E48A4">
            <w:pPr>
              <w:jc w:val="both"/>
              <w:rPr>
                <w:rFonts w:cstheme="minorHAnsi"/>
                <w:lang w:val="es-CO"/>
              </w:rPr>
            </w:pPr>
            <w:r w:rsidRPr="006C34D5">
              <w:rPr>
                <w:rFonts w:cstheme="minorHAnsi"/>
                <w:lang w:val="es-ES"/>
              </w:rPr>
              <w:t xml:space="preserve">Resolución No. 139 de </w:t>
            </w:r>
            <w:r>
              <w:rPr>
                <w:rFonts w:cstheme="minorHAnsi"/>
                <w:lang w:val="es-ES"/>
              </w:rPr>
              <w:t>j</w:t>
            </w:r>
            <w:r w:rsidRPr="006C34D5">
              <w:rPr>
                <w:rFonts w:cstheme="minorHAnsi"/>
                <w:lang w:val="es-ES"/>
              </w:rPr>
              <w:t>unio 15 de 2018 “POR MEDIO DEL CUAL SE CONFORMA EL COMITÉ INSTITUCIONAL DE GESTIÓN Y DESEMPEÑO DEL MODELO INTEGRADO DE PLANEACIÓN Y GESTIÓN DEL INFIDER, CONFORME AL DECRETO 1499 DE 2017"</w:t>
            </w:r>
          </w:p>
        </w:tc>
        <w:tc>
          <w:tcPr>
            <w:tcW w:w="5966" w:type="dxa"/>
          </w:tcPr>
          <w:p w14:paraId="1189AC79" w14:textId="77777777" w:rsidR="004A3FEC" w:rsidRPr="006C34D5" w:rsidRDefault="004A3FEC" w:rsidP="007E48A4">
            <w:pPr>
              <w:jc w:val="both"/>
              <w:rPr>
                <w:rFonts w:cstheme="minorHAnsi"/>
                <w:b/>
                <w:bCs/>
                <w:lang w:val="es-ES"/>
              </w:rPr>
            </w:pPr>
            <w:r w:rsidRPr="006C34D5">
              <w:rPr>
                <w:rFonts w:cstheme="minorHAnsi"/>
                <w:b/>
                <w:bCs/>
                <w:lang w:val="es-ES"/>
              </w:rPr>
              <w:t xml:space="preserve">Año 2018: </w:t>
            </w:r>
          </w:p>
          <w:p w14:paraId="69AA4F55" w14:textId="77777777" w:rsidR="004A3FEC" w:rsidRPr="006C34D5" w:rsidRDefault="004A3FEC" w:rsidP="007E48A4">
            <w:pPr>
              <w:jc w:val="both"/>
              <w:rPr>
                <w:rFonts w:cstheme="minorHAnsi"/>
                <w:bCs/>
                <w:lang w:val="es-ES"/>
              </w:rPr>
            </w:pPr>
            <w:r w:rsidRPr="006C34D5">
              <w:rPr>
                <w:rFonts w:cstheme="minorHAnsi"/>
                <w:bCs/>
                <w:lang w:val="es-ES"/>
              </w:rPr>
              <w:t>Comité No. 001 de agosto 1 de 2018</w:t>
            </w:r>
          </w:p>
          <w:p w14:paraId="45B2649E" w14:textId="77777777" w:rsidR="004A3FEC" w:rsidRPr="006C34D5" w:rsidRDefault="004A3FEC" w:rsidP="007E48A4">
            <w:pPr>
              <w:jc w:val="both"/>
              <w:rPr>
                <w:rFonts w:cstheme="minorHAnsi"/>
                <w:lang w:val="es-CO"/>
              </w:rPr>
            </w:pPr>
            <w:r w:rsidRPr="006C34D5">
              <w:rPr>
                <w:rFonts w:cstheme="minorHAnsi"/>
                <w:bCs/>
                <w:lang w:val="es-ES"/>
              </w:rPr>
              <w:t>Comité No. 002 de noviembre 15 de 2018</w:t>
            </w:r>
          </w:p>
          <w:p w14:paraId="67CADB16" w14:textId="77777777" w:rsidR="004A3FEC" w:rsidRPr="006C34D5" w:rsidRDefault="004A3FEC" w:rsidP="007E48A4">
            <w:pPr>
              <w:jc w:val="both"/>
              <w:rPr>
                <w:rFonts w:cstheme="minorHAnsi"/>
                <w:lang w:val="es-CO"/>
              </w:rPr>
            </w:pPr>
          </w:p>
          <w:p w14:paraId="6C43C517" w14:textId="77777777" w:rsidR="004A3FEC" w:rsidRPr="006C34D5" w:rsidRDefault="004A3FEC" w:rsidP="007E48A4">
            <w:pPr>
              <w:jc w:val="both"/>
              <w:rPr>
                <w:rFonts w:cstheme="minorHAnsi"/>
                <w:b/>
                <w:lang w:val="es-CO"/>
              </w:rPr>
            </w:pPr>
            <w:r w:rsidRPr="006C34D5">
              <w:rPr>
                <w:rFonts w:cstheme="minorHAnsi"/>
                <w:b/>
                <w:lang w:val="es-CO"/>
              </w:rPr>
              <w:t>Año 2019:</w:t>
            </w:r>
          </w:p>
          <w:p w14:paraId="7EECE4FC" w14:textId="77777777" w:rsidR="004A3FEC" w:rsidRPr="006C34D5" w:rsidRDefault="004A3FEC" w:rsidP="007E48A4">
            <w:pPr>
              <w:jc w:val="both"/>
              <w:rPr>
                <w:rFonts w:cstheme="minorHAnsi"/>
                <w:bCs/>
                <w:lang w:val="es-ES"/>
              </w:rPr>
            </w:pPr>
            <w:r w:rsidRPr="006C34D5">
              <w:rPr>
                <w:rFonts w:cstheme="minorHAnsi"/>
                <w:bCs/>
                <w:lang w:val="es-ES"/>
              </w:rPr>
              <w:t>Comité No. 001 de marzo 27 de 2019</w:t>
            </w:r>
          </w:p>
          <w:p w14:paraId="61198B76" w14:textId="77777777" w:rsidR="004A3FEC" w:rsidRPr="006C34D5" w:rsidRDefault="004A3FEC" w:rsidP="007E48A4">
            <w:pPr>
              <w:jc w:val="both"/>
              <w:rPr>
                <w:rFonts w:cstheme="minorHAnsi"/>
                <w:bCs/>
                <w:lang w:val="es-ES"/>
              </w:rPr>
            </w:pPr>
            <w:r w:rsidRPr="006C34D5">
              <w:rPr>
                <w:rFonts w:cstheme="minorHAnsi"/>
                <w:bCs/>
                <w:lang w:val="es-ES"/>
              </w:rPr>
              <w:t>Comité No. 002 de mayo 15 de 2019</w:t>
            </w:r>
          </w:p>
          <w:p w14:paraId="2C0807B5" w14:textId="77777777" w:rsidR="004A3FEC" w:rsidRPr="006C34D5" w:rsidRDefault="004A3FEC" w:rsidP="007E48A4">
            <w:pPr>
              <w:jc w:val="both"/>
              <w:rPr>
                <w:rFonts w:cstheme="minorHAnsi"/>
                <w:bCs/>
                <w:lang w:val="es-ES"/>
              </w:rPr>
            </w:pPr>
            <w:r w:rsidRPr="006C34D5">
              <w:rPr>
                <w:rFonts w:cstheme="minorHAnsi"/>
                <w:bCs/>
                <w:lang w:val="es-ES"/>
              </w:rPr>
              <w:t>Comité No. 003 de junio 5 de 2019</w:t>
            </w:r>
          </w:p>
          <w:p w14:paraId="4B1C7C6D" w14:textId="77777777" w:rsidR="004A3FEC" w:rsidRPr="006C34D5" w:rsidRDefault="004A3FEC" w:rsidP="007E48A4">
            <w:pPr>
              <w:jc w:val="both"/>
              <w:rPr>
                <w:rFonts w:cstheme="minorHAnsi"/>
                <w:bCs/>
                <w:lang w:val="es-ES"/>
              </w:rPr>
            </w:pPr>
            <w:r w:rsidRPr="006C34D5">
              <w:rPr>
                <w:rFonts w:cstheme="minorHAnsi"/>
                <w:bCs/>
                <w:lang w:val="es-ES"/>
              </w:rPr>
              <w:t>Comité No. 004 de septiembre 3 de 2019.</w:t>
            </w:r>
          </w:p>
          <w:p w14:paraId="1EDE3AFD" w14:textId="77777777" w:rsidR="004A3FEC" w:rsidRPr="006C34D5" w:rsidRDefault="004A3FEC" w:rsidP="007E48A4">
            <w:pPr>
              <w:jc w:val="both"/>
              <w:rPr>
                <w:rFonts w:cstheme="minorHAnsi"/>
                <w:bCs/>
                <w:lang w:val="es-ES"/>
              </w:rPr>
            </w:pPr>
          </w:p>
          <w:p w14:paraId="4E89CA22" w14:textId="77777777" w:rsidR="004A3FEC" w:rsidRPr="006C34D5" w:rsidRDefault="004A3FEC" w:rsidP="007E48A4">
            <w:pPr>
              <w:jc w:val="both"/>
              <w:rPr>
                <w:rFonts w:cstheme="minorHAnsi"/>
                <w:b/>
                <w:lang w:val="es-ES"/>
              </w:rPr>
            </w:pPr>
            <w:r w:rsidRPr="006C34D5">
              <w:rPr>
                <w:rFonts w:cstheme="minorHAnsi"/>
                <w:b/>
                <w:lang w:val="es-ES"/>
              </w:rPr>
              <w:t>Año 2020</w:t>
            </w:r>
          </w:p>
          <w:p w14:paraId="2CBB985B" w14:textId="77777777" w:rsidR="00CE0580" w:rsidRDefault="004A3FEC" w:rsidP="007E48A4">
            <w:pPr>
              <w:jc w:val="both"/>
              <w:rPr>
                <w:rFonts w:cstheme="minorHAnsi"/>
                <w:bCs/>
                <w:lang w:val="es-ES"/>
              </w:rPr>
            </w:pPr>
            <w:r w:rsidRPr="006C34D5">
              <w:rPr>
                <w:rFonts w:cstheme="minorHAnsi"/>
                <w:bCs/>
                <w:lang w:val="es-ES"/>
              </w:rPr>
              <w:t>Comité No 001 de marzo 20 de 2020</w:t>
            </w:r>
            <w:r>
              <w:rPr>
                <w:rFonts w:cstheme="minorHAnsi"/>
                <w:bCs/>
                <w:lang w:val="es-ES"/>
              </w:rPr>
              <w:t xml:space="preserve">. </w:t>
            </w:r>
          </w:p>
          <w:p w14:paraId="171C6C78" w14:textId="51AA866C" w:rsidR="004A3FEC" w:rsidRPr="006C34D5" w:rsidRDefault="00CE0580" w:rsidP="007E48A4">
            <w:pPr>
              <w:jc w:val="both"/>
              <w:rPr>
                <w:rFonts w:cstheme="minorHAnsi"/>
                <w:bCs/>
                <w:lang w:val="es-ES"/>
              </w:rPr>
            </w:pPr>
            <w:r>
              <w:rPr>
                <w:rFonts w:cstheme="minorHAnsi"/>
                <w:bCs/>
                <w:lang w:val="es-ES"/>
              </w:rPr>
              <w:t>S</w:t>
            </w:r>
            <w:r w:rsidR="004A3FEC">
              <w:rPr>
                <w:rFonts w:cstheme="minorHAnsi"/>
                <w:bCs/>
                <w:lang w:val="es-ES"/>
              </w:rPr>
              <w:t>e</w:t>
            </w:r>
            <w:r>
              <w:rPr>
                <w:rFonts w:cstheme="minorHAnsi"/>
                <w:bCs/>
                <w:lang w:val="es-ES"/>
              </w:rPr>
              <w:t xml:space="preserve"> tiene programado realizar Comité de Gestión y Desempeño para el 22 de septiembre de 2020 </w:t>
            </w:r>
            <w:r w:rsidR="009C41A8">
              <w:rPr>
                <w:rFonts w:cstheme="minorHAnsi"/>
                <w:bCs/>
                <w:lang w:val="es-ES"/>
              </w:rPr>
              <w:t>porque hubo cambio en la Dirección Administrativa y financiera de la entidad</w:t>
            </w:r>
          </w:p>
        </w:tc>
      </w:tr>
    </w:tbl>
    <w:p w14:paraId="0B3D5799" w14:textId="77777777" w:rsidR="004A3FEC" w:rsidRPr="009B7CB3" w:rsidRDefault="004A3FEC" w:rsidP="004A3FEC">
      <w:pPr>
        <w:pStyle w:val="Prrafodelista"/>
        <w:jc w:val="both"/>
        <w:rPr>
          <w:lang w:val="es-ES"/>
        </w:rPr>
      </w:pPr>
    </w:p>
    <w:p w14:paraId="7ED33C88" w14:textId="77777777" w:rsidR="009B7CB3" w:rsidRDefault="009B7CB3" w:rsidP="00E95BB1">
      <w:pPr>
        <w:jc w:val="both"/>
        <w:rPr>
          <w:b/>
          <w:lang w:val="es-ES"/>
        </w:rPr>
      </w:pPr>
    </w:p>
    <w:p w14:paraId="1FB5709A" w14:textId="11F4A9E8" w:rsidR="00581C57" w:rsidRPr="00581C57" w:rsidRDefault="00581C57" w:rsidP="00581C57">
      <w:pPr>
        <w:pStyle w:val="Prrafodelista"/>
        <w:numPr>
          <w:ilvl w:val="0"/>
          <w:numId w:val="19"/>
        </w:numPr>
        <w:jc w:val="both"/>
        <w:rPr>
          <w:lang w:val="es-ES"/>
        </w:rPr>
      </w:pPr>
      <w:r w:rsidRPr="00581C57">
        <w:rPr>
          <w:b/>
          <w:lang w:val="es-ES"/>
        </w:rPr>
        <w:t xml:space="preserve">QUE CONSIDERACIONES TIENEN PARA PRESENTAR AL </w:t>
      </w:r>
      <w:bookmarkStart w:id="0" w:name="_Hlk41913724"/>
      <w:r w:rsidRPr="00581C57">
        <w:rPr>
          <w:b/>
          <w:lang w:val="es-ES"/>
        </w:rPr>
        <w:t>COMITÉ DEPARTAMENTAL DE GESTIÓN Y DESEMPEÑO:</w:t>
      </w:r>
    </w:p>
    <w:bookmarkEnd w:id="0"/>
    <w:p w14:paraId="0EAD824A" w14:textId="77777777" w:rsidR="00581C57" w:rsidRDefault="00581C57" w:rsidP="00581C57">
      <w:pPr>
        <w:jc w:val="both"/>
        <w:rPr>
          <w:lang w:val="es-ES"/>
        </w:rPr>
      </w:pPr>
    </w:p>
    <w:p w14:paraId="316C0928" w14:textId="3770D804" w:rsidR="00581C57" w:rsidRPr="002F40C2" w:rsidRDefault="00581C57" w:rsidP="00581C57">
      <w:pPr>
        <w:pStyle w:val="Prrafodelista"/>
        <w:jc w:val="both"/>
        <w:rPr>
          <w:bCs/>
          <w:lang w:val="es-ES"/>
        </w:rPr>
      </w:pPr>
      <w:r>
        <w:rPr>
          <w:lang w:val="es-ES"/>
        </w:rPr>
        <w:t xml:space="preserve">Continuar periódicamente con el </w:t>
      </w:r>
      <w:r w:rsidRPr="002F40C2">
        <w:rPr>
          <w:bCs/>
          <w:lang w:val="es-ES"/>
        </w:rPr>
        <w:t>comité departamental de gestión y desempeño</w:t>
      </w:r>
      <w:r>
        <w:rPr>
          <w:bCs/>
          <w:lang w:val="es-ES"/>
        </w:rPr>
        <w:t xml:space="preserve"> que es un fortalecimiento para el desempeño de la gobernación y sus entidades descentralizadas y es un insumo importante </w:t>
      </w:r>
      <w:r>
        <w:rPr>
          <w:bCs/>
          <w:lang w:val="es-ES"/>
        </w:rPr>
        <w:t xml:space="preserve">para </w:t>
      </w:r>
      <w:r>
        <w:rPr>
          <w:bCs/>
          <w:lang w:val="es-ES"/>
        </w:rPr>
        <w:t>realizar un proceso de retroalimentación y mejora.</w:t>
      </w:r>
    </w:p>
    <w:p w14:paraId="18A806D2" w14:textId="77777777" w:rsidR="00581C57" w:rsidRPr="002F40C2" w:rsidRDefault="00581C57" w:rsidP="00581C57">
      <w:pPr>
        <w:jc w:val="both"/>
        <w:rPr>
          <w:lang w:val="es-ES"/>
        </w:rPr>
      </w:pPr>
    </w:p>
    <w:p w14:paraId="011A5E1D" w14:textId="77777777" w:rsidR="00581C57" w:rsidRDefault="00581C57" w:rsidP="00581C57">
      <w:pPr>
        <w:jc w:val="both"/>
        <w:rPr>
          <w:lang w:val="es-ES"/>
        </w:rPr>
      </w:pPr>
    </w:p>
    <w:p w14:paraId="6B993E5F" w14:textId="77777777" w:rsidR="00581C57" w:rsidRDefault="00581C57" w:rsidP="00581C57">
      <w:pPr>
        <w:rPr>
          <w:lang w:val="es-ES"/>
        </w:rPr>
      </w:pPr>
    </w:p>
    <w:p w14:paraId="70FAB96C" w14:textId="77777777" w:rsidR="00581C57" w:rsidRPr="0030189D" w:rsidRDefault="00581C57" w:rsidP="00581C57">
      <w:pPr>
        <w:rPr>
          <w:lang w:val="es-ES"/>
        </w:rPr>
      </w:pPr>
    </w:p>
    <w:p w14:paraId="5DA853CD" w14:textId="77777777" w:rsidR="00581C57" w:rsidRPr="00581C57" w:rsidRDefault="00581C57" w:rsidP="00581C57">
      <w:pPr>
        <w:rPr>
          <w:b/>
          <w:bCs/>
          <w:i/>
          <w:iCs/>
          <w:lang w:val="es-ES"/>
        </w:rPr>
      </w:pPr>
      <w:r w:rsidRPr="00581C57">
        <w:rPr>
          <w:b/>
          <w:bCs/>
          <w:i/>
          <w:iCs/>
          <w:lang w:val="es-ES"/>
        </w:rPr>
        <w:t>ELABORADO POR: Guillermo León Henao Flórez</w:t>
      </w:r>
    </w:p>
    <w:p w14:paraId="1DA3CB26" w14:textId="77777777" w:rsidR="00581C57" w:rsidRPr="00581C57" w:rsidRDefault="00581C57" w:rsidP="00581C57">
      <w:pPr>
        <w:rPr>
          <w:b/>
          <w:bCs/>
          <w:i/>
          <w:iCs/>
          <w:lang w:val="es-ES"/>
        </w:rPr>
      </w:pPr>
      <w:r w:rsidRPr="00581C57">
        <w:rPr>
          <w:b/>
          <w:bCs/>
          <w:i/>
          <w:iCs/>
          <w:lang w:val="es-ES"/>
        </w:rPr>
        <w:t xml:space="preserve">                                  Jefe Asesor Oficina de Control Interno</w:t>
      </w:r>
    </w:p>
    <w:p w14:paraId="2FB524F5" w14:textId="77777777" w:rsidR="00581C57" w:rsidRPr="00581C57" w:rsidRDefault="00581C57" w:rsidP="00581C57">
      <w:pPr>
        <w:rPr>
          <w:b/>
          <w:bCs/>
          <w:i/>
          <w:iCs/>
          <w:lang w:val="es-ES"/>
        </w:rPr>
      </w:pPr>
      <w:r w:rsidRPr="00581C57">
        <w:rPr>
          <w:b/>
          <w:bCs/>
          <w:i/>
          <w:iCs/>
          <w:lang w:val="es-ES"/>
        </w:rPr>
        <w:t xml:space="preserve">                                  INFIDER</w:t>
      </w:r>
    </w:p>
    <w:p w14:paraId="53578EAA" w14:textId="77777777" w:rsidR="00581C57" w:rsidRPr="00581C57" w:rsidRDefault="00581C57" w:rsidP="00581C57">
      <w:pPr>
        <w:rPr>
          <w:b/>
          <w:bCs/>
          <w:i/>
          <w:iCs/>
          <w:lang w:val="es-ES"/>
        </w:rPr>
      </w:pPr>
    </w:p>
    <w:p w14:paraId="6108EA6B" w14:textId="77777777" w:rsidR="00581C57" w:rsidRPr="00581C57" w:rsidRDefault="00581C57" w:rsidP="00581C57">
      <w:pPr>
        <w:rPr>
          <w:b/>
          <w:bCs/>
          <w:i/>
          <w:iCs/>
          <w:lang w:val="es-ES"/>
        </w:rPr>
      </w:pPr>
    </w:p>
    <w:p w14:paraId="2E1602D5" w14:textId="5232B56A" w:rsidR="00581C57" w:rsidRPr="00581C57" w:rsidRDefault="00581C57" w:rsidP="00581C57">
      <w:pPr>
        <w:rPr>
          <w:b/>
          <w:bCs/>
          <w:i/>
          <w:iCs/>
          <w:lang w:val="es-ES"/>
        </w:rPr>
      </w:pPr>
      <w:r w:rsidRPr="00581C57">
        <w:rPr>
          <w:b/>
          <w:bCs/>
          <w:i/>
          <w:iCs/>
          <w:lang w:val="es-ES"/>
        </w:rPr>
        <w:t xml:space="preserve">REVISADO POR: </w:t>
      </w:r>
      <w:r w:rsidRPr="00581C57">
        <w:rPr>
          <w:b/>
          <w:bCs/>
          <w:i/>
          <w:iCs/>
          <w:lang w:val="es-ES"/>
        </w:rPr>
        <w:t>Luz Omaira Salazar Peláez</w:t>
      </w:r>
    </w:p>
    <w:p w14:paraId="1D7777CD" w14:textId="7E6679BF" w:rsidR="00581C57" w:rsidRPr="00581C57" w:rsidRDefault="00581C57" w:rsidP="00581C57">
      <w:pPr>
        <w:rPr>
          <w:b/>
          <w:bCs/>
          <w:i/>
          <w:iCs/>
          <w:lang w:val="es-ES"/>
        </w:rPr>
      </w:pPr>
      <w:r w:rsidRPr="00581C57">
        <w:rPr>
          <w:b/>
          <w:bCs/>
          <w:i/>
          <w:iCs/>
          <w:lang w:val="es-ES"/>
        </w:rPr>
        <w:t xml:space="preserve">                              Director</w:t>
      </w:r>
      <w:r w:rsidRPr="00581C57">
        <w:rPr>
          <w:b/>
          <w:bCs/>
          <w:i/>
          <w:iCs/>
          <w:lang w:val="es-ES"/>
        </w:rPr>
        <w:t>a</w:t>
      </w:r>
      <w:r w:rsidRPr="00581C57">
        <w:rPr>
          <w:b/>
          <w:bCs/>
          <w:i/>
          <w:iCs/>
          <w:lang w:val="es-ES"/>
        </w:rPr>
        <w:t xml:space="preserve"> Administrativo Y Financiero</w:t>
      </w:r>
    </w:p>
    <w:p w14:paraId="0B3BC5D3" w14:textId="77777777" w:rsidR="00581C57" w:rsidRPr="00581C57" w:rsidRDefault="00581C57" w:rsidP="00581C57">
      <w:pPr>
        <w:rPr>
          <w:b/>
          <w:bCs/>
          <w:i/>
          <w:iCs/>
          <w:lang w:val="es-ES"/>
        </w:rPr>
      </w:pPr>
      <w:r w:rsidRPr="00581C57">
        <w:rPr>
          <w:b/>
          <w:bCs/>
          <w:i/>
          <w:iCs/>
          <w:lang w:val="es-ES"/>
        </w:rPr>
        <w:t xml:space="preserve">                              INFIDER</w:t>
      </w:r>
    </w:p>
    <w:p w14:paraId="7F87B7CD" w14:textId="77777777" w:rsidR="00581C57" w:rsidRDefault="00581C57" w:rsidP="00581C57">
      <w:pPr>
        <w:rPr>
          <w:b/>
          <w:bCs/>
          <w:i/>
          <w:iCs/>
          <w:lang w:val="es-ES"/>
        </w:rPr>
      </w:pPr>
      <w:r w:rsidRPr="00581C57">
        <w:rPr>
          <w:b/>
          <w:bCs/>
          <w:i/>
          <w:iCs/>
          <w:lang w:val="es-ES"/>
        </w:rPr>
        <w:t xml:space="preserve">                            </w:t>
      </w:r>
    </w:p>
    <w:p w14:paraId="0F20D4AC" w14:textId="7B66C0A4" w:rsidR="00581C57" w:rsidRPr="00581C57" w:rsidRDefault="00581C57" w:rsidP="00581C57">
      <w:pPr>
        <w:rPr>
          <w:b/>
          <w:bCs/>
          <w:i/>
          <w:iCs/>
          <w:lang w:val="es-ES"/>
        </w:rPr>
      </w:pPr>
      <w:r>
        <w:rPr>
          <w:b/>
          <w:bCs/>
          <w:i/>
          <w:iCs/>
          <w:lang w:val="es-ES"/>
        </w:rPr>
        <w:t xml:space="preserve">                            </w:t>
      </w:r>
      <w:r w:rsidRPr="00581C57">
        <w:rPr>
          <w:b/>
          <w:bCs/>
          <w:i/>
          <w:iCs/>
          <w:lang w:val="es-ES"/>
        </w:rPr>
        <w:t xml:space="preserve">  Alejandra __________________</w:t>
      </w:r>
    </w:p>
    <w:p w14:paraId="798B739E" w14:textId="0DBFF8F9" w:rsidR="00581C57" w:rsidRPr="00581C57" w:rsidRDefault="00581C57" w:rsidP="00581C57">
      <w:pPr>
        <w:rPr>
          <w:b/>
          <w:bCs/>
          <w:i/>
          <w:iCs/>
          <w:lang w:val="es-ES"/>
        </w:rPr>
      </w:pPr>
      <w:r w:rsidRPr="00581C57">
        <w:rPr>
          <w:b/>
          <w:bCs/>
          <w:i/>
          <w:iCs/>
          <w:lang w:val="es-ES"/>
        </w:rPr>
        <w:t xml:space="preserve">                              Contratista _______________________</w:t>
      </w:r>
    </w:p>
    <w:p w14:paraId="18BF11AC" w14:textId="77777777" w:rsidR="00581C57" w:rsidRPr="00581C57" w:rsidRDefault="00581C57" w:rsidP="00581C57">
      <w:pPr>
        <w:rPr>
          <w:b/>
          <w:bCs/>
          <w:i/>
          <w:iCs/>
          <w:lang w:val="es-ES"/>
        </w:rPr>
      </w:pPr>
    </w:p>
    <w:p w14:paraId="5A234381" w14:textId="77777777" w:rsidR="00581C57" w:rsidRDefault="00581C57" w:rsidP="00581C57">
      <w:pPr>
        <w:rPr>
          <w:b/>
          <w:bCs/>
          <w:i/>
          <w:iCs/>
          <w:lang w:val="es-ES"/>
        </w:rPr>
      </w:pPr>
    </w:p>
    <w:p w14:paraId="09E40445" w14:textId="77777777" w:rsidR="00581C57" w:rsidRDefault="00581C57" w:rsidP="00581C57">
      <w:pPr>
        <w:rPr>
          <w:b/>
          <w:bCs/>
          <w:i/>
          <w:iCs/>
          <w:lang w:val="es-ES"/>
        </w:rPr>
      </w:pPr>
    </w:p>
    <w:p w14:paraId="763F1D6C" w14:textId="77777777" w:rsidR="00581C57" w:rsidRDefault="00581C57" w:rsidP="00581C57">
      <w:pPr>
        <w:rPr>
          <w:b/>
          <w:bCs/>
          <w:i/>
          <w:iCs/>
          <w:lang w:val="es-ES"/>
        </w:rPr>
      </w:pPr>
    </w:p>
    <w:p w14:paraId="5B2D0381" w14:textId="77777777" w:rsidR="00581C57" w:rsidRDefault="00581C57" w:rsidP="00581C57">
      <w:pPr>
        <w:rPr>
          <w:b/>
          <w:bCs/>
          <w:i/>
          <w:iCs/>
          <w:lang w:val="es-ES"/>
        </w:rPr>
      </w:pPr>
    </w:p>
    <w:p w14:paraId="4D4044C9" w14:textId="77777777" w:rsidR="00581C57" w:rsidRDefault="00581C57" w:rsidP="00581C57">
      <w:pPr>
        <w:rPr>
          <w:b/>
          <w:bCs/>
          <w:i/>
          <w:iCs/>
          <w:lang w:val="es-ES"/>
        </w:rPr>
      </w:pPr>
    </w:p>
    <w:p w14:paraId="2E439C9D" w14:textId="77777777" w:rsidR="00581C57" w:rsidRDefault="00581C57" w:rsidP="00581C57">
      <w:pPr>
        <w:rPr>
          <w:b/>
          <w:bCs/>
          <w:i/>
          <w:iCs/>
          <w:lang w:val="es-ES"/>
        </w:rPr>
      </w:pPr>
    </w:p>
    <w:p w14:paraId="75DF69E2" w14:textId="359B9F86" w:rsidR="00581C57" w:rsidRPr="00581C57" w:rsidRDefault="00581C57" w:rsidP="00581C57">
      <w:pPr>
        <w:rPr>
          <w:b/>
          <w:bCs/>
          <w:i/>
          <w:iCs/>
          <w:lang w:val="es-ES"/>
        </w:rPr>
      </w:pPr>
      <w:r w:rsidRPr="00581C57">
        <w:rPr>
          <w:b/>
          <w:bCs/>
          <w:i/>
          <w:iCs/>
          <w:lang w:val="es-ES"/>
        </w:rPr>
        <w:t>APROBADO POR: Carlos Jairo Bedoya Naranjo</w:t>
      </w:r>
    </w:p>
    <w:p w14:paraId="16EDFC1D" w14:textId="77777777" w:rsidR="00581C57" w:rsidRPr="00581C57" w:rsidRDefault="00581C57" w:rsidP="00581C57">
      <w:pPr>
        <w:rPr>
          <w:b/>
          <w:bCs/>
          <w:i/>
          <w:iCs/>
          <w:lang w:val="es-ES"/>
        </w:rPr>
      </w:pPr>
      <w:r w:rsidRPr="00581C57">
        <w:rPr>
          <w:b/>
          <w:bCs/>
          <w:i/>
          <w:iCs/>
          <w:lang w:val="es-ES"/>
        </w:rPr>
        <w:t xml:space="preserve">                                Gerente</w:t>
      </w:r>
    </w:p>
    <w:p w14:paraId="42EDA580" w14:textId="77777777" w:rsidR="00581C57" w:rsidRPr="00581C57" w:rsidRDefault="00581C57" w:rsidP="00581C57">
      <w:pPr>
        <w:rPr>
          <w:b/>
          <w:bCs/>
          <w:i/>
          <w:iCs/>
          <w:lang w:val="es-ES"/>
        </w:rPr>
      </w:pPr>
      <w:r w:rsidRPr="00581C57">
        <w:rPr>
          <w:b/>
          <w:bCs/>
          <w:i/>
          <w:iCs/>
          <w:lang w:val="es-ES"/>
        </w:rPr>
        <w:t xml:space="preserve">                                 INFIDER</w:t>
      </w:r>
    </w:p>
    <w:p w14:paraId="6928B7CA" w14:textId="64584478" w:rsidR="00C94C47" w:rsidRPr="00FB3DBE" w:rsidRDefault="00C94C47" w:rsidP="00FB3DBE">
      <w:pPr>
        <w:rPr>
          <w:lang w:val="es-ES"/>
        </w:rPr>
      </w:pPr>
    </w:p>
    <w:sectPr w:rsidR="00C94C47" w:rsidRPr="00FB3DBE" w:rsidSect="008C356C">
      <w:headerReference w:type="default" r:id="rId7"/>
      <w:footerReference w:type="default" r:id="rId8"/>
      <w:pgSz w:w="12240" w:h="15840" w:code="1"/>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9F1C6" w14:textId="77777777" w:rsidR="007F45BB" w:rsidRDefault="007F45BB" w:rsidP="00FB3DBE">
      <w:r>
        <w:separator/>
      </w:r>
    </w:p>
  </w:endnote>
  <w:endnote w:type="continuationSeparator" w:id="0">
    <w:p w14:paraId="1D8D522F" w14:textId="77777777" w:rsidR="007F45BB" w:rsidRDefault="007F45BB" w:rsidP="00FB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8B36" w14:textId="77777777" w:rsidR="00180B4C" w:rsidRDefault="00180B4C">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3F9830A" w14:textId="77777777" w:rsidR="00180B4C" w:rsidRDefault="00180B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19333" w14:textId="77777777" w:rsidR="007F45BB" w:rsidRDefault="007F45BB" w:rsidP="00FB3DBE">
      <w:r>
        <w:separator/>
      </w:r>
    </w:p>
  </w:footnote>
  <w:footnote w:type="continuationSeparator" w:id="0">
    <w:p w14:paraId="13E1FBCC" w14:textId="77777777" w:rsidR="007F45BB" w:rsidRDefault="007F45BB" w:rsidP="00FB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3182" w14:textId="049837AE" w:rsidR="00FB3DBE" w:rsidRDefault="00EC7F21">
    <w:pPr>
      <w:pStyle w:val="Encabezado"/>
    </w:pPr>
    <w:r>
      <w:rPr>
        <w:noProof/>
        <w:lang w:eastAsia="es-CO"/>
      </w:rPr>
      <w:drawing>
        <wp:anchor distT="0" distB="0" distL="114300" distR="114300" simplePos="0" relativeHeight="251659264" behindDoc="1" locked="0" layoutInCell="1" allowOverlap="1" wp14:anchorId="5E9CB5FF" wp14:editId="575A5BFF">
          <wp:simplePos x="0" y="0"/>
          <wp:positionH relativeFrom="column">
            <wp:posOffset>-1076325</wp:posOffset>
          </wp:positionH>
          <wp:positionV relativeFrom="paragraph">
            <wp:posOffset>-600710</wp:posOffset>
          </wp:positionV>
          <wp:extent cx="7886415" cy="10205950"/>
          <wp:effectExtent l="0" t="0" r="63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 base_Mesa de trabajo 1.jpg"/>
                  <pic:cNvPicPr/>
                </pic:nvPicPr>
                <pic:blipFill>
                  <a:blip r:embed="rId1"/>
                  <a:stretch>
                    <a:fillRect/>
                  </a:stretch>
                </pic:blipFill>
                <pic:spPr>
                  <a:xfrm>
                    <a:off x="0" y="0"/>
                    <a:ext cx="7886415" cy="10205950"/>
                  </a:xfrm>
                  <a:prstGeom prst="rect">
                    <a:avLst/>
                  </a:prstGeom>
                </pic:spPr>
              </pic:pic>
            </a:graphicData>
          </a:graphic>
        </wp:anchor>
      </w:drawing>
    </w:r>
  </w:p>
  <w:p w14:paraId="41862FC7" w14:textId="77777777" w:rsidR="00802D21" w:rsidRDefault="00802D21">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0831"/>
    <w:multiLevelType w:val="hybridMultilevel"/>
    <w:tmpl w:val="DF881F9E"/>
    <w:lvl w:ilvl="0" w:tplc="3ACCF8C4">
      <w:start w:val="1"/>
      <w:numFmt w:val="bullet"/>
      <w:lvlText w:val="•"/>
      <w:lvlJc w:val="left"/>
      <w:pPr>
        <w:tabs>
          <w:tab w:val="num" w:pos="720"/>
        </w:tabs>
        <w:ind w:left="720" w:hanging="360"/>
      </w:pPr>
      <w:rPr>
        <w:rFonts w:ascii="Arial" w:hAnsi="Arial" w:hint="default"/>
      </w:rPr>
    </w:lvl>
    <w:lvl w:ilvl="1" w:tplc="FD0E9DEA" w:tentative="1">
      <w:start w:val="1"/>
      <w:numFmt w:val="bullet"/>
      <w:lvlText w:val="•"/>
      <w:lvlJc w:val="left"/>
      <w:pPr>
        <w:tabs>
          <w:tab w:val="num" w:pos="1440"/>
        </w:tabs>
        <w:ind w:left="1440" w:hanging="360"/>
      </w:pPr>
      <w:rPr>
        <w:rFonts w:ascii="Arial" w:hAnsi="Arial" w:hint="default"/>
      </w:rPr>
    </w:lvl>
    <w:lvl w:ilvl="2" w:tplc="B8C87F76" w:tentative="1">
      <w:start w:val="1"/>
      <w:numFmt w:val="bullet"/>
      <w:lvlText w:val="•"/>
      <w:lvlJc w:val="left"/>
      <w:pPr>
        <w:tabs>
          <w:tab w:val="num" w:pos="2160"/>
        </w:tabs>
        <w:ind w:left="2160" w:hanging="360"/>
      </w:pPr>
      <w:rPr>
        <w:rFonts w:ascii="Arial" w:hAnsi="Arial" w:hint="default"/>
      </w:rPr>
    </w:lvl>
    <w:lvl w:ilvl="3" w:tplc="55A05374" w:tentative="1">
      <w:start w:val="1"/>
      <w:numFmt w:val="bullet"/>
      <w:lvlText w:val="•"/>
      <w:lvlJc w:val="left"/>
      <w:pPr>
        <w:tabs>
          <w:tab w:val="num" w:pos="2880"/>
        </w:tabs>
        <w:ind w:left="2880" w:hanging="360"/>
      </w:pPr>
      <w:rPr>
        <w:rFonts w:ascii="Arial" w:hAnsi="Arial" w:hint="default"/>
      </w:rPr>
    </w:lvl>
    <w:lvl w:ilvl="4" w:tplc="E40881E4" w:tentative="1">
      <w:start w:val="1"/>
      <w:numFmt w:val="bullet"/>
      <w:lvlText w:val="•"/>
      <w:lvlJc w:val="left"/>
      <w:pPr>
        <w:tabs>
          <w:tab w:val="num" w:pos="3600"/>
        </w:tabs>
        <w:ind w:left="3600" w:hanging="360"/>
      </w:pPr>
      <w:rPr>
        <w:rFonts w:ascii="Arial" w:hAnsi="Arial" w:hint="default"/>
      </w:rPr>
    </w:lvl>
    <w:lvl w:ilvl="5" w:tplc="7F3CB08C" w:tentative="1">
      <w:start w:val="1"/>
      <w:numFmt w:val="bullet"/>
      <w:lvlText w:val="•"/>
      <w:lvlJc w:val="left"/>
      <w:pPr>
        <w:tabs>
          <w:tab w:val="num" w:pos="4320"/>
        </w:tabs>
        <w:ind w:left="4320" w:hanging="360"/>
      </w:pPr>
      <w:rPr>
        <w:rFonts w:ascii="Arial" w:hAnsi="Arial" w:hint="default"/>
      </w:rPr>
    </w:lvl>
    <w:lvl w:ilvl="6" w:tplc="6DC6B1C6" w:tentative="1">
      <w:start w:val="1"/>
      <w:numFmt w:val="bullet"/>
      <w:lvlText w:val="•"/>
      <w:lvlJc w:val="left"/>
      <w:pPr>
        <w:tabs>
          <w:tab w:val="num" w:pos="5040"/>
        </w:tabs>
        <w:ind w:left="5040" w:hanging="360"/>
      </w:pPr>
      <w:rPr>
        <w:rFonts w:ascii="Arial" w:hAnsi="Arial" w:hint="default"/>
      </w:rPr>
    </w:lvl>
    <w:lvl w:ilvl="7" w:tplc="86E6A574" w:tentative="1">
      <w:start w:val="1"/>
      <w:numFmt w:val="bullet"/>
      <w:lvlText w:val="•"/>
      <w:lvlJc w:val="left"/>
      <w:pPr>
        <w:tabs>
          <w:tab w:val="num" w:pos="5760"/>
        </w:tabs>
        <w:ind w:left="5760" w:hanging="360"/>
      </w:pPr>
      <w:rPr>
        <w:rFonts w:ascii="Arial" w:hAnsi="Arial" w:hint="default"/>
      </w:rPr>
    </w:lvl>
    <w:lvl w:ilvl="8" w:tplc="E4063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75091A"/>
    <w:multiLevelType w:val="hybridMultilevel"/>
    <w:tmpl w:val="D3388D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0D3F2C"/>
    <w:multiLevelType w:val="hybridMultilevel"/>
    <w:tmpl w:val="79B81D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357C6B"/>
    <w:multiLevelType w:val="hybridMultilevel"/>
    <w:tmpl w:val="A594B3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07500C8"/>
    <w:multiLevelType w:val="hybridMultilevel"/>
    <w:tmpl w:val="3F421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5604A5"/>
    <w:multiLevelType w:val="hybridMultilevel"/>
    <w:tmpl w:val="CEB47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FE26E4"/>
    <w:multiLevelType w:val="hybridMultilevel"/>
    <w:tmpl w:val="5B24D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29117C"/>
    <w:multiLevelType w:val="hybridMultilevel"/>
    <w:tmpl w:val="E2A42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CD1407"/>
    <w:multiLevelType w:val="hybridMultilevel"/>
    <w:tmpl w:val="13C6D17C"/>
    <w:lvl w:ilvl="0" w:tplc="040A000F">
      <w:start w:val="1"/>
      <w:numFmt w:val="decimal"/>
      <w:lvlText w:val="%1."/>
      <w:lvlJc w:val="left"/>
      <w:pPr>
        <w:ind w:left="153" w:hanging="360"/>
      </w:pPr>
    </w:lvl>
    <w:lvl w:ilvl="1" w:tplc="040A0019" w:tentative="1">
      <w:start w:val="1"/>
      <w:numFmt w:val="lowerLetter"/>
      <w:lvlText w:val="%2."/>
      <w:lvlJc w:val="left"/>
      <w:pPr>
        <w:ind w:left="873" w:hanging="360"/>
      </w:pPr>
    </w:lvl>
    <w:lvl w:ilvl="2" w:tplc="040A001B" w:tentative="1">
      <w:start w:val="1"/>
      <w:numFmt w:val="lowerRoman"/>
      <w:lvlText w:val="%3."/>
      <w:lvlJc w:val="right"/>
      <w:pPr>
        <w:ind w:left="1593" w:hanging="180"/>
      </w:pPr>
    </w:lvl>
    <w:lvl w:ilvl="3" w:tplc="040A000F" w:tentative="1">
      <w:start w:val="1"/>
      <w:numFmt w:val="decimal"/>
      <w:lvlText w:val="%4."/>
      <w:lvlJc w:val="left"/>
      <w:pPr>
        <w:ind w:left="2313" w:hanging="360"/>
      </w:pPr>
    </w:lvl>
    <w:lvl w:ilvl="4" w:tplc="040A0019" w:tentative="1">
      <w:start w:val="1"/>
      <w:numFmt w:val="lowerLetter"/>
      <w:lvlText w:val="%5."/>
      <w:lvlJc w:val="left"/>
      <w:pPr>
        <w:ind w:left="3033" w:hanging="360"/>
      </w:pPr>
    </w:lvl>
    <w:lvl w:ilvl="5" w:tplc="040A001B" w:tentative="1">
      <w:start w:val="1"/>
      <w:numFmt w:val="lowerRoman"/>
      <w:lvlText w:val="%6."/>
      <w:lvlJc w:val="right"/>
      <w:pPr>
        <w:ind w:left="3753" w:hanging="180"/>
      </w:pPr>
    </w:lvl>
    <w:lvl w:ilvl="6" w:tplc="040A000F" w:tentative="1">
      <w:start w:val="1"/>
      <w:numFmt w:val="decimal"/>
      <w:lvlText w:val="%7."/>
      <w:lvlJc w:val="left"/>
      <w:pPr>
        <w:ind w:left="4473" w:hanging="360"/>
      </w:pPr>
    </w:lvl>
    <w:lvl w:ilvl="7" w:tplc="040A0019" w:tentative="1">
      <w:start w:val="1"/>
      <w:numFmt w:val="lowerLetter"/>
      <w:lvlText w:val="%8."/>
      <w:lvlJc w:val="left"/>
      <w:pPr>
        <w:ind w:left="5193" w:hanging="360"/>
      </w:pPr>
    </w:lvl>
    <w:lvl w:ilvl="8" w:tplc="040A001B" w:tentative="1">
      <w:start w:val="1"/>
      <w:numFmt w:val="lowerRoman"/>
      <w:lvlText w:val="%9."/>
      <w:lvlJc w:val="right"/>
      <w:pPr>
        <w:ind w:left="5913" w:hanging="180"/>
      </w:pPr>
    </w:lvl>
  </w:abstractNum>
  <w:abstractNum w:abstractNumId="9" w15:restartNumberingAfterBreak="0">
    <w:nsid w:val="25D4669A"/>
    <w:multiLevelType w:val="hybridMultilevel"/>
    <w:tmpl w:val="8CBA444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80D4642"/>
    <w:multiLevelType w:val="hybridMultilevel"/>
    <w:tmpl w:val="13DC32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81158A0"/>
    <w:multiLevelType w:val="hybridMultilevel"/>
    <w:tmpl w:val="1E9206FC"/>
    <w:lvl w:ilvl="0" w:tplc="3600F39E">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8AF6CDB"/>
    <w:multiLevelType w:val="hybridMultilevel"/>
    <w:tmpl w:val="1E9206FC"/>
    <w:lvl w:ilvl="0" w:tplc="3600F39E">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5D203AD"/>
    <w:multiLevelType w:val="hybridMultilevel"/>
    <w:tmpl w:val="7EF4C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5876C2"/>
    <w:multiLevelType w:val="hybridMultilevel"/>
    <w:tmpl w:val="8E68C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3847C7"/>
    <w:multiLevelType w:val="hybridMultilevel"/>
    <w:tmpl w:val="A858C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9F3967"/>
    <w:multiLevelType w:val="hybridMultilevel"/>
    <w:tmpl w:val="E6B65C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4B70D5"/>
    <w:multiLevelType w:val="hybridMultilevel"/>
    <w:tmpl w:val="CDEA10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110A57"/>
    <w:multiLevelType w:val="hybridMultilevel"/>
    <w:tmpl w:val="1E9206FC"/>
    <w:lvl w:ilvl="0" w:tplc="3600F39E">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3D443DB"/>
    <w:multiLevelType w:val="hybridMultilevel"/>
    <w:tmpl w:val="B934734E"/>
    <w:lvl w:ilvl="0" w:tplc="240A0001">
      <w:start w:val="1"/>
      <w:numFmt w:val="bullet"/>
      <w:lvlText w:val=""/>
      <w:lvlJc w:val="left"/>
      <w:pPr>
        <w:ind w:left="1434" w:hanging="360"/>
      </w:pPr>
      <w:rPr>
        <w:rFonts w:ascii="Symbol" w:hAnsi="Symbol"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20" w15:restartNumberingAfterBreak="0">
    <w:nsid w:val="66227FAE"/>
    <w:multiLevelType w:val="hybridMultilevel"/>
    <w:tmpl w:val="A2202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855A9E"/>
    <w:multiLevelType w:val="hybridMultilevel"/>
    <w:tmpl w:val="41EC484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49E130C"/>
    <w:multiLevelType w:val="hybridMultilevel"/>
    <w:tmpl w:val="B1D84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0"/>
  </w:num>
  <w:num w:numId="4">
    <w:abstractNumId w:val="14"/>
  </w:num>
  <w:num w:numId="5">
    <w:abstractNumId w:val="4"/>
  </w:num>
  <w:num w:numId="6">
    <w:abstractNumId w:val="13"/>
  </w:num>
  <w:num w:numId="7">
    <w:abstractNumId w:val="15"/>
  </w:num>
  <w:num w:numId="8">
    <w:abstractNumId w:val="22"/>
  </w:num>
  <w:num w:numId="9">
    <w:abstractNumId w:val="20"/>
  </w:num>
  <w:num w:numId="10">
    <w:abstractNumId w:val="17"/>
  </w:num>
  <w:num w:numId="11">
    <w:abstractNumId w:val="19"/>
  </w:num>
  <w:num w:numId="12">
    <w:abstractNumId w:val="5"/>
  </w:num>
  <w:num w:numId="13">
    <w:abstractNumId w:val="7"/>
  </w:num>
  <w:num w:numId="14">
    <w:abstractNumId w:val="2"/>
  </w:num>
  <w:num w:numId="15">
    <w:abstractNumId w:val="1"/>
  </w:num>
  <w:num w:numId="16">
    <w:abstractNumId w:val="6"/>
  </w:num>
  <w:num w:numId="17">
    <w:abstractNumId w:val="3"/>
  </w:num>
  <w:num w:numId="18">
    <w:abstractNumId w:val="9"/>
  </w:num>
  <w:num w:numId="19">
    <w:abstractNumId w:val="11"/>
  </w:num>
  <w:num w:numId="20">
    <w:abstractNumId w:val="18"/>
  </w:num>
  <w:num w:numId="21">
    <w:abstractNumId w:val="1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BE"/>
    <w:rsid w:val="00034ACB"/>
    <w:rsid w:val="00037D8C"/>
    <w:rsid w:val="00062E42"/>
    <w:rsid w:val="001027D1"/>
    <w:rsid w:val="001171F3"/>
    <w:rsid w:val="00134ECA"/>
    <w:rsid w:val="001708E0"/>
    <w:rsid w:val="001749E8"/>
    <w:rsid w:val="00180B4C"/>
    <w:rsid w:val="001835E9"/>
    <w:rsid w:val="001B0D08"/>
    <w:rsid w:val="002143D0"/>
    <w:rsid w:val="00240EF2"/>
    <w:rsid w:val="002754E6"/>
    <w:rsid w:val="00285629"/>
    <w:rsid w:val="002B1B2D"/>
    <w:rsid w:val="002B54EC"/>
    <w:rsid w:val="0030189D"/>
    <w:rsid w:val="003102CF"/>
    <w:rsid w:val="00322F60"/>
    <w:rsid w:val="00346808"/>
    <w:rsid w:val="00347B1E"/>
    <w:rsid w:val="003A46F3"/>
    <w:rsid w:val="003D7779"/>
    <w:rsid w:val="004035F3"/>
    <w:rsid w:val="0041262B"/>
    <w:rsid w:val="00481AF2"/>
    <w:rsid w:val="0049716B"/>
    <w:rsid w:val="004A033B"/>
    <w:rsid w:val="004A3FEC"/>
    <w:rsid w:val="004C3027"/>
    <w:rsid w:val="00506480"/>
    <w:rsid w:val="00575CF3"/>
    <w:rsid w:val="00581C57"/>
    <w:rsid w:val="00585180"/>
    <w:rsid w:val="0059718B"/>
    <w:rsid w:val="005F0E2E"/>
    <w:rsid w:val="006701A5"/>
    <w:rsid w:val="006E624A"/>
    <w:rsid w:val="00721998"/>
    <w:rsid w:val="0072753F"/>
    <w:rsid w:val="007437E7"/>
    <w:rsid w:val="00777BC8"/>
    <w:rsid w:val="007D75BB"/>
    <w:rsid w:val="007F45BB"/>
    <w:rsid w:val="00800C5A"/>
    <w:rsid w:val="00802D21"/>
    <w:rsid w:val="00852B68"/>
    <w:rsid w:val="008C2C8E"/>
    <w:rsid w:val="008C356C"/>
    <w:rsid w:val="008C3F6C"/>
    <w:rsid w:val="00901BF9"/>
    <w:rsid w:val="00931C84"/>
    <w:rsid w:val="00956E7D"/>
    <w:rsid w:val="009B0DA7"/>
    <w:rsid w:val="009B7CB3"/>
    <w:rsid w:val="009C41A8"/>
    <w:rsid w:val="00A82219"/>
    <w:rsid w:val="00A95EE0"/>
    <w:rsid w:val="00AA77B6"/>
    <w:rsid w:val="00AE06C2"/>
    <w:rsid w:val="00AF50C8"/>
    <w:rsid w:val="00B34820"/>
    <w:rsid w:val="00B92C30"/>
    <w:rsid w:val="00BB6D19"/>
    <w:rsid w:val="00C33DCE"/>
    <w:rsid w:val="00C441BE"/>
    <w:rsid w:val="00C65C8D"/>
    <w:rsid w:val="00C9123B"/>
    <w:rsid w:val="00C94C47"/>
    <w:rsid w:val="00CA754C"/>
    <w:rsid w:val="00CC3F49"/>
    <w:rsid w:val="00CE0580"/>
    <w:rsid w:val="00CF5CC7"/>
    <w:rsid w:val="00D3124F"/>
    <w:rsid w:val="00D33EEF"/>
    <w:rsid w:val="00D6595A"/>
    <w:rsid w:val="00DD274A"/>
    <w:rsid w:val="00DF3A1D"/>
    <w:rsid w:val="00E21C53"/>
    <w:rsid w:val="00E50114"/>
    <w:rsid w:val="00E95BB1"/>
    <w:rsid w:val="00EC7F21"/>
    <w:rsid w:val="00F1759C"/>
    <w:rsid w:val="00F55DDB"/>
    <w:rsid w:val="00FB3DBE"/>
    <w:rsid w:val="00FD53CE"/>
    <w:rsid w:val="00FE6FA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139FA"/>
  <w14:defaultImageDpi w14:val="32767"/>
  <w15:chartTrackingRefBased/>
  <w15:docId w15:val="{86211BE7-1C05-5145-9969-122E8687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3DBE"/>
    <w:pPr>
      <w:tabs>
        <w:tab w:val="center" w:pos="4419"/>
        <w:tab w:val="right" w:pos="8838"/>
      </w:tabs>
    </w:pPr>
  </w:style>
  <w:style w:type="character" w:customStyle="1" w:styleId="EncabezadoCar">
    <w:name w:val="Encabezado Car"/>
    <w:basedOn w:val="Fuentedeprrafopredeter"/>
    <w:link w:val="Encabezado"/>
    <w:uiPriority w:val="99"/>
    <w:rsid w:val="00FB3DBE"/>
  </w:style>
  <w:style w:type="paragraph" w:styleId="Piedepgina">
    <w:name w:val="footer"/>
    <w:basedOn w:val="Normal"/>
    <w:link w:val="PiedepginaCar"/>
    <w:uiPriority w:val="99"/>
    <w:unhideWhenUsed/>
    <w:rsid w:val="00FB3DBE"/>
    <w:pPr>
      <w:tabs>
        <w:tab w:val="center" w:pos="4419"/>
        <w:tab w:val="right" w:pos="8838"/>
      </w:tabs>
    </w:pPr>
  </w:style>
  <w:style w:type="character" w:customStyle="1" w:styleId="PiedepginaCar">
    <w:name w:val="Pie de página Car"/>
    <w:basedOn w:val="Fuentedeprrafopredeter"/>
    <w:link w:val="Piedepgina"/>
    <w:uiPriority w:val="99"/>
    <w:rsid w:val="00FB3DBE"/>
  </w:style>
  <w:style w:type="table" w:styleId="Tablaconcuadrcula">
    <w:name w:val="Table Grid"/>
    <w:basedOn w:val="Tablanormal"/>
    <w:uiPriority w:val="39"/>
    <w:rsid w:val="00FB3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5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979016">
      <w:bodyDiv w:val="1"/>
      <w:marLeft w:val="0"/>
      <w:marRight w:val="0"/>
      <w:marTop w:val="0"/>
      <w:marBottom w:val="0"/>
      <w:divBdr>
        <w:top w:val="none" w:sz="0" w:space="0" w:color="auto"/>
        <w:left w:val="none" w:sz="0" w:space="0" w:color="auto"/>
        <w:bottom w:val="none" w:sz="0" w:space="0" w:color="auto"/>
        <w:right w:val="none" w:sz="0" w:space="0" w:color="auto"/>
      </w:divBdr>
    </w:div>
    <w:div w:id="323123889">
      <w:bodyDiv w:val="1"/>
      <w:marLeft w:val="0"/>
      <w:marRight w:val="0"/>
      <w:marTop w:val="0"/>
      <w:marBottom w:val="0"/>
      <w:divBdr>
        <w:top w:val="none" w:sz="0" w:space="0" w:color="auto"/>
        <w:left w:val="none" w:sz="0" w:space="0" w:color="auto"/>
        <w:bottom w:val="none" w:sz="0" w:space="0" w:color="auto"/>
        <w:right w:val="none" w:sz="0" w:space="0" w:color="auto"/>
      </w:divBdr>
    </w:div>
    <w:div w:id="358970185">
      <w:bodyDiv w:val="1"/>
      <w:marLeft w:val="0"/>
      <w:marRight w:val="0"/>
      <w:marTop w:val="0"/>
      <w:marBottom w:val="0"/>
      <w:divBdr>
        <w:top w:val="none" w:sz="0" w:space="0" w:color="auto"/>
        <w:left w:val="none" w:sz="0" w:space="0" w:color="auto"/>
        <w:bottom w:val="none" w:sz="0" w:space="0" w:color="auto"/>
        <w:right w:val="none" w:sz="0" w:space="0" w:color="auto"/>
      </w:divBdr>
    </w:div>
    <w:div w:id="453015601">
      <w:bodyDiv w:val="1"/>
      <w:marLeft w:val="0"/>
      <w:marRight w:val="0"/>
      <w:marTop w:val="0"/>
      <w:marBottom w:val="0"/>
      <w:divBdr>
        <w:top w:val="none" w:sz="0" w:space="0" w:color="auto"/>
        <w:left w:val="none" w:sz="0" w:space="0" w:color="auto"/>
        <w:bottom w:val="none" w:sz="0" w:space="0" w:color="auto"/>
        <w:right w:val="none" w:sz="0" w:space="0" w:color="auto"/>
      </w:divBdr>
    </w:div>
    <w:div w:id="518397068">
      <w:bodyDiv w:val="1"/>
      <w:marLeft w:val="0"/>
      <w:marRight w:val="0"/>
      <w:marTop w:val="0"/>
      <w:marBottom w:val="0"/>
      <w:divBdr>
        <w:top w:val="none" w:sz="0" w:space="0" w:color="auto"/>
        <w:left w:val="none" w:sz="0" w:space="0" w:color="auto"/>
        <w:bottom w:val="none" w:sz="0" w:space="0" w:color="auto"/>
        <w:right w:val="none" w:sz="0" w:space="0" w:color="auto"/>
      </w:divBdr>
    </w:div>
    <w:div w:id="654644092">
      <w:bodyDiv w:val="1"/>
      <w:marLeft w:val="0"/>
      <w:marRight w:val="0"/>
      <w:marTop w:val="0"/>
      <w:marBottom w:val="0"/>
      <w:divBdr>
        <w:top w:val="none" w:sz="0" w:space="0" w:color="auto"/>
        <w:left w:val="none" w:sz="0" w:space="0" w:color="auto"/>
        <w:bottom w:val="none" w:sz="0" w:space="0" w:color="auto"/>
        <w:right w:val="none" w:sz="0" w:space="0" w:color="auto"/>
      </w:divBdr>
    </w:div>
    <w:div w:id="859393048">
      <w:bodyDiv w:val="1"/>
      <w:marLeft w:val="0"/>
      <w:marRight w:val="0"/>
      <w:marTop w:val="0"/>
      <w:marBottom w:val="0"/>
      <w:divBdr>
        <w:top w:val="none" w:sz="0" w:space="0" w:color="auto"/>
        <w:left w:val="none" w:sz="0" w:space="0" w:color="auto"/>
        <w:bottom w:val="none" w:sz="0" w:space="0" w:color="auto"/>
        <w:right w:val="none" w:sz="0" w:space="0" w:color="auto"/>
      </w:divBdr>
    </w:div>
    <w:div w:id="941571345">
      <w:bodyDiv w:val="1"/>
      <w:marLeft w:val="0"/>
      <w:marRight w:val="0"/>
      <w:marTop w:val="0"/>
      <w:marBottom w:val="0"/>
      <w:divBdr>
        <w:top w:val="none" w:sz="0" w:space="0" w:color="auto"/>
        <w:left w:val="none" w:sz="0" w:space="0" w:color="auto"/>
        <w:bottom w:val="none" w:sz="0" w:space="0" w:color="auto"/>
        <w:right w:val="none" w:sz="0" w:space="0" w:color="auto"/>
      </w:divBdr>
    </w:div>
    <w:div w:id="1006594142">
      <w:bodyDiv w:val="1"/>
      <w:marLeft w:val="0"/>
      <w:marRight w:val="0"/>
      <w:marTop w:val="0"/>
      <w:marBottom w:val="0"/>
      <w:divBdr>
        <w:top w:val="none" w:sz="0" w:space="0" w:color="auto"/>
        <w:left w:val="none" w:sz="0" w:space="0" w:color="auto"/>
        <w:bottom w:val="none" w:sz="0" w:space="0" w:color="auto"/>
        <w:right w:val="none" w:sz="0" w:space="0" w:color="auto"/>
      </w:divBdr>
    </w:div>
    <w:div w:id="1102530357">
      <w:bodyDiv w:val="1"/>
      <w:marLeft w:val="0"/>
      <w:marRight w:val="0"/>
      <w:marTop w:val="0"/>
      <w:marBottom w:val="0"/>
      <w:divBdr>
        <w:top w:val="none" w:sz="0" w:space="0" w:color="auto"/>
        <w:left w:val="none" w:sz="0" w:space="0" w:color="auto"/>
        <w:bottom w:val="none" w:sz="0" w:space="0" w:color="auto"/>
        <w:right w:val="none" w:sz="0" w:space="0" w:color="auto"/>
      </w:divBdr>
    </w:div>
    <w:div w:id="1131021726">
      <w:bodyDiv w:val="1"/>
      <w:marLeft w:val="0"/>
      <w:marRight w:val="0"/>
      <w:marTop w:val="0"/>
      <w:marBottom w:val="0"/>
      <w:divBdr>
        <w:top w:val="none" w:sz="0" w:space="0" w:color="auto"/>
        <w:left w:val="none" w:sz="0" w:space="0" w:color="auto"/>
        <w:bottom w:val="none" w:sz="0" w:space="0" w:color="auto"/>
        <w:right w:val="none" w:sz="0" w:space="0" w:color="auto"/>
      </w:divBdr>
    </w:div>
    <w:div w:id="1217279473">
      <w:bodyDiv w:val="1"/>
      <w:marLeft w:val="0"/>
      <w:marRight w:val="0"/>
      <w:marTop w:val="0"/>
      <w:marBottom w:val="0"/>
      <w:divBdr>
        <w:top w:val="none" w:sz="0" w:space="0" w:color="auto"/>
        <w:left w:val="none" w:sz="0" w:space="0" w:color="auto"/>
        <w:bottom w:val="none" w:sz="0" w:space="0" w:color="auto"/>
        <w:right w:val="none" w:sz="0" w:space="0" w:color="auto"/>
      </w:divBdr>
    </w:div>
    <w:div w:id="1649555693">
      <w:bodyDiv w:val="1"/>
      <w:marLeft w:val="0"/>
      <w:marRight w:val="0"/>
      <w:marTop w:val="0"/>
      <w:marBottom w:val="0"/>
      <w:divBdr>
        <w:top w:val="none" w:sz="0" w:space="0" w:color="auto"/>
        <w:left w:val="none" w:sz="0" w:space="0" w:color="auto"/>
        <w:bottom w:val="none" w:sz="0" w:space="0" w:color="auto"/>
        <w:right w:val="none" w:sz="0" w:space="0" w:color="auto"/>
      </w:divBdr>
    </w:div>
    <w:div w:id="1675717074">
      <w:bodyDiv w:val="1"/>
      <w:marLeft w:val="0"/>
      <w:marRight w:val="0"/>
      <w:marTop w:val="0"/>
      <w:marBottom w:val="0"/>
      <w:divBdr>
        <w:top w:val="none" w:sz="0" w:space="0" w:color="auto"/>
        <w:left w:val="none" w:sz="0" w:space="0" w:color="auto"/>
        <w:bottom w:val="none" w:sz="0" w:space="0" w:color="auto"/>
        <w:right w:val="none" w:sz="0" w:space="0" w:color="auto"/>
      </w:divBdr>
    </w:div>
    <w:div w:id="1686395135">
      <w:bodyDiv w:val="1"/>
      <w:marLeft w:val="0"/>
      <w:marRight w:val="0"/>
      <w:marTop w:val="0"/>
      <w:marBottom w:val="0"/>
      <w:divBdr>
        <w:top w:val="none" w:sz="0" w:space="0" w:color="auto"/>
        <w:left w:val="none" w:sz="0" w:space="0" w:color="auto"/>
        <w:bottom w:val="none" w:sz="0" w:space="0" w:color="auto"/>
        <w:right w:val="none" w:sz="0" w:space="0" w:color="auto"/>
      </w:divBdr>
    </w:div>
    <w:div w:id="1710034306">
      <w:bodyDiv w:val="1"/>
      <w:marLeft w:val="0"/>
      <w:marRight w:val="0"/>
      <w:marTop w:val="0"/>
      <w:marBottom w:val="0"/>
      <w:divBdr>
        <w:top w:val="none" w:sz="0" w:space="0" w:color="auto"/>
        <w:left w:val="none" w:sz="0" w:space="0" w:color="auto"/>
        <w:bottom w:val="none" w:sz="0" w:space="0" w:color="auto"/>
        <w:right w:val="none" w:sz="0" w:space="0" w:color="auto"/>
      </w:divBdr>
    </w:div>
    <w:div w:id="1790708963">
      <w:bodyDiv w:val="1"/>
      <w:marLeft w:val="0"/>
      <w:marRight w:val="0"/>
      <w:marTop w:val="0"/>
      <w:marBottom w:val="0"/>
      <w:divBdr>
        <w:top w:val="none" w:sz="0" w:space="0" w:color="auto"/>
        <w:left w:val="none" w:sz="0" w:space="0" w:color="auto"/>
        <w:bottom w:val="none" w:sz="0" w:space="0" w:color="auto"/>
        <w:right w:val="none" w:sz="0" w:space="0" w:color="auto"/>
      </w:divBdr>
    </w:div>
    <w:div w:id="1820266876">
      <w:bodyDiv w:val="1"/>
      <w:marLeft w:val="0"/>
      <w:marRight w:val="0"/>
      <w:marTop w:val="0"/>
      <w:marBottom w:val="0"/>
      <w:divBdr>
        <w:top w:val="none" w:sz="0" w:space="0" w:color="auto"/>
        <w:left w:val="none" w:sz="0" w:space="0" w:color="auto"/>
        <w:bottom w:val="none" w:sz="0" w:space="0" w:color="auto"/>
        <w:right w:val="none" w:sz="0" w:space="0" w:color="auto"/>
      </w:divBdr>
    </w:div>
    <w:div w:id="1889107093">
      <w:bodyDiv w:val="1"/>
      <w:marLeft w:val="0"/>
      <w:marRight w:val="0"/>
      <w:marTop w:val="0"/>
      <w:marBottom w:val="0"/>
      <w:divBdr>
        <w:top w:val="none" w:sz="0" w:space="0" w:color="auto"/>
        <w:left w:val="none" w:sz="0" w:space="0" w:color="auto"/>
        <w:bottom w:val="none" w:sz="0" w:space="0" w:color="auto"/>
        <w:right w:val="none" w:sz="0" w:space="0" w:color="auto"/>
      </w:divBdr>
    </w:div>
    <w:div w:id="1913812975">
      <w:bodyDiv w:val="1"/>
      <w:marLeft w:val="0"/>
      <w:marRight w:val="0"/>
      <w:marTop w:val="0"/>
      <w:marBottom w:val="0"/>
      <w:divBdr>
        <w:top w:val="none" w:sz="0" w:space="0" w:color="auto"/>
        <w:left w:val="none" w:sz="0" w:space="0" w:color="auto"/>
        <w:bottom w:val="none" w:sz="0" w:space="0" w:color="auto"/>
        <w:right w:val="none" w:sz="0" w:space="0" w:color="auto"/>
      </w:divBdr>
    </w:div>
    <w:div w:id="1924071679">
      <w:bodyDiv w:val="1"/>
      <w:marLeft w:val="0"/>
      <w:marRight w:val="0"/>
      <w:marTop w:val="0"/>
      <w:marBottom w:val="0"/>
      <w:divBdr>
        <w:top w:val="none" w:sz="0" w:space="0" w:color="auto"/>
        <w:left w:val="none" w:sz="0" w:space="0" w:color="auto"/>
        <w:bottom w:val="none" w:sz="0" w:space="0" w:color="auto"/>
        <w:right w:val="none" w:sz="0" w:space="0" w:color="auto"/>
      </w:divBdr>
    </w:div>
    <w:div w:id="19717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1273</Words>
  <Characters>7004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guillermo leon henao florez</cp:lastModifiedBy>
  <cp:revision>11</cp:revision>
  <dcterms:created xsi:type="dcterms:W3CDTF">2020-08-18T15:48:00Z</dcterms:created>
  <dcterms:modified xsi:type="dcterms:W3CDTF">2020-09-02T18:45:00Z</dcterms:modified>
</cp:coreProperties>
</file>